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面向机柜空调的 PI 自动整定与增益调度：统一仿真评估及软件在环验证（提交版主报告）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范围声明（必读）：本报告主结论为 E2-B4 全新密封集复评 + E1/E3–E5 工程验证。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B4（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sealed-80x7-b4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）：新场景（601–641，从未参与任何分析）+ 冻结策略评价一次，不重训。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B1（混合冻结）、B2（部署门误用密封集）、B3（场景复用 B2）保留为历史对照。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各方法训练预算不同（台账见 §4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budget_table.csv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，已计入的计算预算，非完整实测成本），只有 BO/随机臂可用“同预算”措辞。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每个数字可定位到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EXPERIMENTS.md 登记编号 + 文件 + 行/列 + code_sha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摘要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对象为小型机柜空调单区 3R2C 热对象（执行器含延迟/惯性/slew/量化/最小运行约束，传感器含噪声与滤波）。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方法侧分为离线整定/训练、冻结策略、在线增益调度、安全 PI 四段边界；LLM 不进入快速控制环，仅做离线建议。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协议为四向隔离：48 训练定参数、16 验证做选择、16 资格集做部署门、80 全新密封场景只打分（601–641，与一切历史数据零重叠）。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主统计量为逐场景配对比均值 + bootstrap 95% CI；验收为 bounded/舒适保持/扰动恢复/执行器合规四项全过；非劣界 1.02。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主要结果（E2-B4，560 条记录）：数值有界 7/7 全过，但温控验收最高仅 37/80（RL）。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RL 目标 J 配对比 0.9614 [0.9429,0.9795] 显著优于 IMC，幅度约 4%，且在新集挽救 2 个 IMC 失败场景、零新增（验收 37/80 vs 35/80 仅为观察值，未做显著性检验，不得将 J 的显著改善直接读作验收率改善也显著）；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BO 1.0630 [1.0306,1.0964] 显著差于 IMC（原因尚未完成归因）；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Safe-BO、FNN（实际执行）、LLM replay 均等于 IMC——三者不是三种独立算法性能证明，其中 FNN 候选本身 0.9792 [0.9680,0.9895]，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但资格门已拒绝部署，事后对照不得作为部署结论。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失败控制实验：疑似调参失败中增益减半（Kp,Ki 同×0.5，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gains-x0.5</w:t>
      </w:r>
      <w:r>
        <w:rPr>
          <w:rFonts w:ascii="微软雅黑" w:hAnsi="微软雅黑" w:eastAsia="微软雅黑"/>
          <w:b w:val="0"/>
          <w:i w:val="0"/>
          <w:sz w:val="21"/>
        </w:rPr>
        <w:t>）翻转 28/41（确证增益敏感），疑似窗口失败延长观察翻转 2/4；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E3+ 严格对照（双向聚类）：GP 对同预算随机 −0.0059 [−0.1040,+0.1335]（含 0），机制贡献未经证实。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边界：最高验收 46.2%、实体三门待验证；本报告作为仿真平台与方法评估，结论以 Ch5/Ch7 为准，可进入交付验收流程；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若定位为可部署方案或算法优势证明，缺口仍明确（验收不足半数、单次新集、实体验证缺失）。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任务与评价目标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输入为区温误差（°C），输出为归一化制冷容量指令（0–1，容量比例）；Kp 单位为容量比例/°C，Ki 为容量比例/(°C·min)。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控制目标为综合目标 J 最小（IAE/ITAE/舒适越限/欠调/调节时间/动作量/输出方差/能耗加权，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hvac_pid/metrics.py:objective_from_metrics</w:t>
      </w:r>
      <w:r>
        <w:rPr>
          <w:rFonts w:ascii="微软雅黑" w:hAnsi="微软雅黑" w:eastAsia="微软雅黑"/>
          <w:b w:val="0"/>
          <w:i w:val="0"/>
          <w:sz w:val="21"/>
        </w:rPr>
        <w:t>），约束为安全信任域 ±10% 与执行器合规（slew/最小运行/启停）。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验收标准拆分为四项：bounded（数值有限且 5–45°C）、comfort_held（启动后持续 60 min 在 ±0.5°C 带）、recovery_ok（扰动/切温后 60 min 持续在带）、actuator_compliant；四项全过记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validation_passed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回退执行不记通过，回退后仍未通过记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fallback_failed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</w:t>
      </w:r>
      <w:r>
        <w:rPr>
          <w:rFonts w:ascii="微软雅黑" w:hAnsi="微软雅黑" w:eastAsia="微软雅黑"/>
          <w:b w:val="0"/>
          <w:i w:val="0"/>
          <w:sz w:val="21"/>
        </w:rPr>
        <w:t xml:space="preserve"> 仅指数值有界，不得等同验收。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系统架构与对象模型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26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26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运行架构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运行架构（上图）：上位机离线整定/训练 → 冻结策略（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 xml:space="preserve"> 同目录版本锁定）→ 在线增益调度（FNN/RL 按状态查表/覆盖掩码回退 IMC；LLM 只在离线提建议）→ 安全 PI（含 ±10% 限幅与回退）→ 执行器（延迟/惯性/slew/量化/最小开停机）→ 3R2C 热对象 → 传感器（噪声/滤波）→ 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证据流程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证据流程（上图）：实验配置（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experiments/manifests/v4.yaml</w:t>
      </w:r>
      <w:r>
        <w:rPr>
          <w:rFonts w:ascii="微软雅黑" w:hAnsi="微软雅黑" w:eastAsia="微软雅黑"/>
          <w:b w:val="0"/>
          <w:i w:val="0"/>
          <w:sz w:val="21"/>
        </w:rPr>
        <w:t xml:space="preserve"> 唯一事实源）→ 数据划分（48 训练/16 验证/16 资格/80 密封，四向隔离 + SHA-256 泄漏检查）→ 训练/选择/资格门 → 冻结 → 独立密封评价（只打分）→ 统计（主/次分开）→ 报告（本主报告 + 附件）。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对象模型为 3R2C 单区，E1 已验证数值实现（六子步 N=6，初次降温 max 0.025154°C ≤0.15）与 FOPDT 代理精度（归一化 RMSE 11.88–11.95% ≤15%）。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时间口径：仿真监督 300 s、外层 60 s/内层 10 s×6 子步、演示 120 s、MCU 快环 100 ms + AI 环 2 s；LLM 离线秒级，不在快环时序内。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七类方法及统一接口（B3/B4 共用冻结值；B1/B2 值见历史批次附件）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类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改什么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输入→输出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B3 冻结（Kp/Ki）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一次阶跃辨识 + 经验公式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FOPDT→固定增益（限幅后）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 / 0.08，对照基线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λ 一维扫描选公式参数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FOPDT+λ→固定增益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0.5180 / 0.004057，回退基准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GP+EI 在 log(Kp,Ki) 直接搜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J→固定增益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0.6265 / 0.005896，14 评估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风险约束下保守选点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J+风险→固定增益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等于 IMC（选中基线本身）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规则表 + 上下文系数在线调度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状态→Δ增益（±10%）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资格门未通过→回退 IMC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 + 覆盖掩码在线调度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状态→Δ增益，未覆盖回退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 + 冻结掩码，门通过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离线建议 + 程序验收 gate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工况描述→候选增益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完整 48 训练集仍无接受候选，等于 IMC；真实调用见 E4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统一接口为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>（IMC/BO/SafeBO/FNN 表+上下文/RL 表+掩码同目录冻结，缺文件报错，legacy 回退显式标记）；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run.py sealed/embedded/pipeline</w:t>
      </w:r>
      <w:r>
        <w:rPr>
          <w:rFonts w:ascii="微软雅黑" w:hAnsi="微软雅黑" w:eastAsia="微软雅黑"/>
          <w:b w:val="0"/>
          <w:i w:val="0"/>
          <w:sz w:val="21"/>
        </w:rPr>
        <w:t xml:space="preserve"> 均经此加载，禁止各入口自行拼装。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实验设计与复现协议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E1 数值/FOPDT：三典型工况（初次快速降温/设定突变/持续热扰动），阈值未动，物理改为子步进后通过。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E2-B4 全新密封：80 新场景（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acceptance_seeds=601,611,621,631,641</w:t>
      </w:r>
      <w:r>
        <w:rPr>
          <w:rFonts w:ascii="微软雅黑" w:hAnsi="微软雅黑" w:eastAsia="微软雅黑"/>
          <w:b w:val="0"/>
          <w:i w:val="0"/>
          <w:sz w:val="21"/>
        </w:rPr>
        <w:t>，与训练/验证/资格/旧密封零摘要重叠，已验），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冻结策略评价一次，不重训；七算法同场景同种子同积分器同指标；测试后调参换新密封集。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训练预算台账（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sealed-80x7-b4/budget_table.csv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微软雅黑" w:hAnsi="微软雅黑" w:eastAsia="微软雅黑"/>
          <w:b/>
          <w:i w:val="0"/>
          <w:sz w:val="21"/>
        </w:rPr>
        <w:t>已计入的计算预算</w:t>
      </w:r>
      <w:r>
        <w:rPr>
          <w:rFonts w:ascii="微软雅黑" w:hAnsi="微软雅黑" w:eastAsia="微软雅黑"/>
          <w:b w:val="0"/>
          <w:i w:val="0"/>
          <w:sz w:val="21"/>
        </w:rPr>
        <w:t>，非完整实测成本；每闭环 = 5 对象小时；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遗漏项：短时域回放、循环内重复评价、积分步数、绘图渲染、分方法墙钟——精确成本排名禁用）：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方法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训练场景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候选评估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闭环仿真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等效对象小时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公式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1（标定）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 λ 扫描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1008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5040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BO（7 初值 + 7 GP）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672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3360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192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 标签 + 选择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 / 16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见备注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768 + 32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3840 + 160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 离线步数 + 选择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环境步（另计）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496（选择）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2480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部署门（资格集）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3/场景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240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密封终评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 算法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560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2800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 消融：同 80 场景随机/保守对照（历史）；E3+ 严格对照：同初值同噪声，4 搜索种子，GP/随机各追加 7 评估，报告双向聚类配对差。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E4 LLM 矩阵：v3 矩阵 18 运行/18 真实/18 有界/5 部署；v4 矩阵 18 运行/1 部署/17 回退；报告采用率、回退后验收与成本，独立成表。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E5 对拍/SIL：75 组 Python/C++ 对拍 ~2.98e-8、CRC、PC-SIL 分频；历史 Modelica DASSL 12 h 为历史证据，当前未复现。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统计：主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mean(obj/imc)</w:t>
      </w:r>
      <w:r>
        <w:rPr>
          <w:rFonts w:ascii="微软雅黑" w:hAnsi="微软雅黑" w:eastAsia="微软雅黑"/>
          <w:b w:val="0"/>
          <w:i w:val="0"/>
          <w:sz w:val="21"/>
        </w:rPr>
        <w:t xml:space="preserve"> + bootstrap CI（2000，seed+77），非劣界 1.02（上界≤1.02），显著优要求上界&lt;1.0；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“CI 含 1”读作“未发现显著优势”，不得径称“持平/等效”。次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mean(obj)/mean(imc)</w:t>
      </w:r>
      <w:r>
        <w:rPr>
          <w:rFonts w:ascii="微软雅黑" w:hAnsi="微软雅黑" w:eastAsia="微软雅黑"/>
          <w:b w:val="0"/>
          <w:i w:val="0"/>
          <w:sz w:val="21"/>
        </w:rPr>
        <w:t xml:space="preserve"> 仅对照。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复现命令见附件（每条可直接复制粘贴执行；复现输出写到新目录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artifacts/runs/sealed-80x7-b4-repro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，不覆盖主证据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结果与失败分析（E2-B4；B1/B2/B3 见历史对照附件）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主结果（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sealed-80x7-b4/sealed_80_summary.csv:2-8</w:t>
      </w:r>
      <w:r>
        <w:rPr>
          <w:rFonts w:ascii="微软雅黑" w:hAnsi="微软雅黑" w:eastAsia="微软雅黑"/>
          <w:b w:val="0"/>
          <w:i w:val="0"/>
          <w:sz w:val="21"/>
        </w:rPr>
        <w:t>，性能与验收并列）：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算法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平均 J↓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主配对比 [95% CI]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验收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59.86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1.7803 [1.6208,1.9623]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显著差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基准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基准；有界全过但验收不足半数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41.28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1.0630 [1.0306,1.0964]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29/80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显著差于 IMC；原因尚未完成归因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1.0000 等于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选中基线本身，无增益无损失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FNN（实际执行）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1.0000 等于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资格门拒绝→回退 IMC；候选本身 0.9792 [0.9680,0.9895]，事后对照不得作为部署结论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36.41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0.9614 [0.9429,0.9795]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37/80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目标 J 显著优于 IMC，幅度约 4%；挽救 #17/#51 且零新增（验收 37/80 vs IMC 35/80 仅为观察值+2，未做显著性检验），单次新集，需多种子重复确认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 replay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持平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完整 48 训练集仍无接受候选；非实时调用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同轴曲线（确定性复现，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sealed-80x7-b4/figures/</w:t>
      </w:r>
      <w:r>
        <w:rPr>
          <w:rFonts w:ascii="微软雅黑" w:hAnsi="微软雅黑" w:eastAsia="微软雅黑"/>
          <w:b w:val="0"/>
          <w:i w:val="0"/>
          <w:sz w:val="21"/>
        </w:rPr>
        <w:t>，时序与清单同目录；复现断言已通过）：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dian_coax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中位场景七算法同轴（ordinal=37，IMC J=34.34）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中位场景：除 Z-N 外七算法轨迹基本重合——与总量结论一致，典型场景下方法间无实质差异。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ilure_coax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失败场景七算法同轴（ordinal=13，IMC J=119.61，极限环振荡）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失败场景：全部算法陷入持续极限环（温度 ±2.5°C 摆动，压缩机 0↔100% 猛烈启停），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单因素控制（延长/加容量/增益减半/增益加倍，均指 Kp,Ki 同比例缩放，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gains-x0.5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/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gains-x2.0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）无一翻转——最硬的未解决案例，增益减半仅改善 J（119.6→74.8）仍未通过。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失败分析分两层（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failure_cause_summary.csv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</w:t>
      </w:r>
      <w:r>
        <w:rPr>
          <w:rFonts w:ascii="微软雅黑" w:hAnsi="微软雅黑" w:eastAsia="微软雅黑"/>
          <w:b/>
          <w:i w:val="0"/>
          <w:sz w:val="21"/>
        </w:rPr>
        <w:t>疑似初筛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failure_control_summary.csv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</w:t>
      </w:r>
      <w:r>
        <w:rPr>
          <w:rFonts w:ascii="微软雅黑" w:hAnsi="微软雅黑" w:eastAsia="微软雅黑"/>
          <w:b/>
          <w:i w:val="0"/>
          <w:sz w:val="21"/>
        </w:rPr>
        <w:t>控制验证</w:t>
      </w:r>
      <w:r>
        <w:rPr>
          <w:rFonts w:ascii="微软雅黑" w:hAnsi="微软雅黑" w:eastAsia="微软雅黑"/>
          <w:b w:val="0"/>
          <w:i w:val="0"/>
          <w:sz w:val="21"/>
        </w:rPr>
        <w:t>，352 个失败点）：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初筛 4 个全算法失败场景疑似窗口不足 + 41 个 IMC 疑似调参残余（B4 新集无疑似容量场景）。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控制验证：增益减半（Kp,Ki 同×0.5）翻转 28/41 疑似调参（确证为增益敏感型；与 B3 的 21/33 同模式复现），延长观察翻转 9/41；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疑似窗口 4 例延长翻转 2 例；B3 的疑似容量 1 例在任何控制下均未翻转——初筛启发式存在误报，已改判未解决，不放宽阈值。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组均值仅作一致性旁证（失败 ~48 vs 通过 ~26）：它不能证明目标设计无冲突，仅说明本批失败同时伴随 J 显著恶化。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E3+ 严格对照（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gp_attribution.csv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12 行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gp_attribution_summary.json</w:t>
      </w:r>
      <w:r>
        <w:rPr>
          <w:rFonts w:ascii="微软雅黑" w:hAnsi="微软雅黑" w:eastAsia="微软雅黑"/>
          <w:b w:val="0"/>
          <w:i w:val="0"/>
          <w:sz w:val="21"/>
        </w:rPr>
        <w:t>；同初值同噪声，4 搜索种子，经典种子 815 精确复现冻结 BO）：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PRIMARY 双向聚类 GP−随机 −0.0059 [−0.1040,+0.1335]（含 0）</w:t>
      </w:r>
      <w:r>
        <w:rPr>
          <w:rFonts w:ascii="微软雅黑" w:hAnsi="微软雅黑" w:eastAsia="微软雅黑"/>
          <w:b w:val="0"/>
          <w:i w:val="0"/>
          <w:sz w:val="21"/>
        </w:rPr>
        <w:t>，GP−初值聚类 −0.1129 [−0.2083,−0.0301]。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结论：</w:t>
      </w:r>
      <w:r>
        <w:rPr>
          <w:rFonts w:ascii="微软雅黑" w:hAnsi="微软雅黑" w:eastAsia="微软雅黑"/>
          <w:b/>
          <w:i w:val="0"/>
          <w:sz w:val="21"/>
        </w:rPr>
        <w:t>未发现 GP 相对同预算随机的优势，机制贡献未经证实</w:t>
      </w:r>
      <w:r>
        <w:rPr>
          <w:rFonts w:ascii="微软雅黑" w:hAnsi="微软雅黑" w:eastAsia="微软雅黑"/>
          <w:b w:val="0"/>
          <w:i w:val="0"/>
          <w:sz w:val="21"/>
        </w:rPr>
        <w:t>（仅 4 次搜索重复，区间诚实地宽）；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逐种子波动大（9002 种子纯随机反超），单次比较不可作机制结论。旧版朴素混合池区间仅作参考。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历史对照一句话：B1（混合冻结）Safe-BO 保守参数曾显著优（0.9185）但归属为参数集；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B2/B3（BO 差、其余持平）因密封集复用降为历史；B3→B4 唯一显著变化是 RL 转为小幅显著优。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软件在环与部署边界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导出：冻结策略经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 xml:space="preserve"> 哈希锁定，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manifest.yaml</w:t>
      </w:r>
      <w:r>
        <w:rPr>
          <w:rFonts w:ascii="微软雅黑" w:hAnsi="微软雅黑" w:eastAsia="微软雅黑"/>
          <w:b w:val="0"/>
          <w:i w:val="0"/>
          <w:sz w:val="21"/>
        </w:rPr>
        <w:t xml:space="preserve"> 随 run 冻结，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sealed_scenarios.csv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存全字段场景清单（任意曲线可精确复现），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code_sha</w:t>
      </w:r>
      <w:r>
        <w:rPr>
          <w:rFonts w:ascii="微软雅黑" w:hAnsi="微软雅黑" w:eastAsia="微软雅黑"/>
          <w:b w:val="0"/>
          <w:i w:val="0"/>
          <w:sz w:val="21"/>
        </w:rPr>
        <w:t xml:space="preserve"> + 脏位如实记录（含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worktree_status_lines</w:t>
      </w:r>
      <w:r>
        <w:rPr>
          <w:rFonts w:ascii="微软雅黑" w:hAnsi="微软雅黑" w:eastAsia="微软雅黑"/>
          <w:b w:val="0"/>
          <w:i w:val="0"/>
          <w:sz w:val="21"/>
        </w:rPr>
        <w:t>/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worktree_diff_stat</w:t>
      </w:r>
      <w:r>
        <w:rPr>
          <w:rFonts w:ascii="微软雅黑" w:hAnsi="微软雅黑" w:eastAsia="微软雅黑"/>
          <w:b w:val="0"/>
          <w:i w:val="0"/>
          <w:sz w:val="21"/>
        </w:rPr>
        <w:t xml:space="preserve">，见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sealed_provenance.json</w:t>
      </w:r>
      <w:r>
        <w:rPr>
          <w:rFonts w:ascii="微软雅黑" w:hAnsi="微软雅黑" w:eastAsia="微软雅黑"/>
          <w:b w:val="0"/>
          <w:i w:val="0"/>
          <w:sz w:val="21"/>
        </w:rPr>
        <w:t xml:space="preserve"> 与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CODE_DIRTY_NOTE.md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）；B3 训练冻结另有裁剪前完整 147 文件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SHA256SUMS</w:t>
      </w:r>
      <w:r>
        <w:rPr>
          <w:rFonts w:ascii="微软雅黑" w:hAnsi="微软雅黑" w:eastAsia="微软雅黑"/>
          <w:b w:val="0"/>
          <w:i w:val="0"/>
          <w:sz w:val="21"/>
        </w:rPr>
        <w:t xml:space="preserve"> 索引（仅为删除前指纹，不能恢复文件本身；重跑得语义等价文件，数值在容差内一致，不保证逐字节一致，详见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PRUNED.md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B4（0.81 MB）全量入库，无裁剪，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SHA256SUMS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evidence_index.csv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齐全。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B3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policy_provenance</w:t>
      </w:r>
      <w:r>
        <w:rPr>
          <w:rFonts w:ascii="微软雅黑" w:hAnsi="微软雅黑" w:eastAsia="微软雅黑"/>
          <w:b w:val="0"/>
          <w:i w:val="0"/>
          <w:sz w:val="21"/>
        </w:rPr>
        <w:t xml:space="preserve"> 中 legacy 双零，RL 掩码为冻结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rl_covered_mask.npy</w:t>
      </w:r>
      <w:r>
        <w:rPr>
          <w:rFonts w:ascii="微软雅黑" w:hAnsi="微软雅黑" w:eastAsia="微软雅黑"/>
          <w:b w:val="0"/>
          <w:i w:val="0"/>
          <w:sz w:val="21"/>
        </w:rPr>
        <w:t>，部署门在资格集判定（FNN 回退、RL 通过）。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对拍：Python/C++ 差 ~3e-8 量级；CRC 校验；PC-SIL 按 100 ms/2 s 分频跑通（B3 run 内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mcu_pc_sil_log.txt:PASS</w:t>
      </w:r>
      <w:r>
        <w:rPr>
          <w:rFonts w:ascii="微软雅黑" w:hAnsi="微软雅黑" w:eastAsia="微软雅黑"/>
          <w:b w:val="0"/>
          <w:i w:val="0"/>
          <w:sz w:val="21"/>
        </w:rPr>
        <w:t>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主机 WCET 参考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host_wcet.csv</w:t>
      </w:r>
      <w:r>
        <w:rPr>
          <w:rFonts w:ascii="微软雅黑" w:hAnsi="微软雅黑" w:eastAsia="微软雅黑"/>
          <w:b w:val="0"/>
          <w:i w:val="0"/>
          <w:sz w:val="21"/>
        </w:rPr>
        <w:t>（HOST-ONLY）；ESP32 目标编译在本机刷新失败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（xtensa 工具链无法处理用户路径中文字符，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esp32_target_compile_attempt.log</w:t>
      </w:r>
      <w:r>
        <w:rPr>
          <w:rFonts w:ascii="微软雅黑" w:hAnsi="微软雅黑" w:eastAsia="微软雅黑"/>
          <w:b w:val="0"/>
          <w:i w:val="0"/>
          <w:sz w:val="21"/>
        </w:rPr>
        <w:t xml:space="preserve"> 存证，历史 RAM/Flash 记录维持，门仍为 PENDING）。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边界：以上证明软件一致性，不证明与真实机柜对象对应，更不代替实体 10 分钟遥测、真实 WCET、HIL、Modbus 写入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（三门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tools/check_hardware_gates.py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当前 3/3 PENDING，不得仿真冒充）。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LLM 边界：E2 replay 非实时调用；E4 真实矩阵链路通≠模型好用，回退率与成本单独报告。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结论与局限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分条件结论（E2-B4）：RL 小幅显著优（~4%，待多种子重复确认）；BO 显著差（归因未完成）；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Safe-BO/FNN（执行）/LLM 等于 IMC；Z-N 显著差。验收最高仅 37/80——主要矛盾是扰动恢复控制与合格率，不是排名。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局限：单一种子单预算；BO 预算仅 14 评估；GP 机制贡献未经证实（仅 4 搜索重复）；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实体/HIL/目标 WCET 全缺（3/3 PENDING）；PDF 未生成（DOCX 为准，人工逐页清单见附件交付检查）。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下一步：多种子重复与更大预算 BO；E4 真实调用矩阵失败原因与成本明细；实测辨识→遥测→HIL 逐层验收，每层追溯到同一策略版本。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历史批次（B1/B2/B3）冻结保留，不再覆盖；新批次一律换 run_id。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附件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复现指南：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README.md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EXPERIMENTS.md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run.py --help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 xml:space="preserve">B4 全链（每条可直接复制粘贴执行；输入为已冻结目录，输出写到新目录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artifacts/runs/sealed-80x7-b4-repro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，不覆盖主证据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sealed-80x7-b4</w:t>
      </w:r>
      <w:r>
        <w:rPr>
          <w:rFonts w:ascii="微软雅黑" w:hAnsi="微软雅黑" w:eastAsia="微软雅黑"/>
          <w:b w:val="0"/>
          <w:i w:val="0"/>
          <w:sz w:val="21"/>
        </w:rPr>
        <w:t xml:space="preserve">；Windows PowerShell 下引号照抄即可，无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&lt; &gt;</w:t>
      </w:r>
      <w:r>
        <w:rPr>
          <w:rFonts w:ascii="微软雅黑" w:hAnsi="微软雅黑" w:eastAsia="微软雅黑"/>
          <w:b w:val="0"/>
          <w:i w:val="0"/>
          <w:sz w:val="21"/>
        </w:rPr>
        <w:t xml:space="preserve"> 占位符）：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sealed --artifact-dir artifacts/runs/v4-20260906-bf6bda6 --output artifacts/runs/sealed-80x7-b4-repro --protocol-label E2-B4 --acceptance-seeds 601,611,621,631,641 --design-note "fresh sealed scenarios unseen in any prior analysis"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attribution --artifact-dir artifacts/runs/v4-20260906-bf6bda6 --output artifacts/runs/sealed-80x7-b4-repro/gp_attribution.csv --seed 7 --train-seed 7 --acceptance-seeds 601,611,621,631,641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budget --run artifacts/runs/v4-20260906-bf6bda6 --sealed artifacts/runs/sealed-80x7-b4-repro --wall-seconds 197.8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failures --sealed artifacts/runs/sealed-80x7-b4-repro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controls --artifact-dir artifacts/runs/v4-20260906-bf6bda6 --sealed artifacts/runs/sealed-80x7-b4-repro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figures --artifact-dir artifacts/runs/v4-20260906-bf6bda6 --sealed artifacts/runs/sealed-80x7-b4-repro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tools/check_results_consistency.py --sealed-dir artifacts/runs/sealed-80x7-b4-repro --require-sealed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tools/check_docx.py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说明：复现比较对象是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sealed-80x7-b4-repro/*.csv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与主证据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sealed-80x7-b4/*.csv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的数值一致性（均值/CI 在 1e-9 内，见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check_results_consistency.py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），不是逐字节哈希一致（计时、绝对路径等环境字段允许差异）。主证据完整性用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sha256sum -c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在原目录验：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sha256sum -c artifacts/runs/sealed-80x7-b4/SHA256SUMS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（须在该目录下执行）。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证据附件：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artifacts/runs/sealed-80x7-b4/</w:t>
      </w:r>
      <w:r>
        <w:rPr>
          <w:rFonts w:ascii="微软雅黑" w:hAnsi="微软雅黑" w:eastAsia="微软雅黑"/>
          <w:b w:val="0"/>
          <w:i w:val="0"/>
          <w:sz w:val="21"/>
        </w:rPr>
        <w:t>（B4 主，全量）+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artifacts/runs/v4-20260906-bf6bda6/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（训练冻结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SHA256SUMS</w:t>
      </w:r>
      <w:r>
        <w:rPr>
          <w:rFonts w:ascii="微软雅黑" w:hAnsi="微软雅黑" w:eastAsia="微软雅黑"/>
          <w:b w:val="0"/>
          <w:i w:val="0"/>
          <w:sz w:val="21"/>
        </w:rPr>
        <w:t xml:space="preserve"> 完整索引）+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sealed-80x7-v4/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（B1）+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sealed-80x7-v4-retrain/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（B2，旧归因作废）+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sealed-80x7-b3/</w:t>
      </w:r>
      <w:r>
        <w:rPr>
          <w:rFonts w:ascii="微软雅黑" w:hAnsi="微软雅黑" w:eastAsia="微软雅黑"/>
          <w:b w:val="0"/>
          <w:i w:val="0"/>
          <w:sz w:val="21"/>
        </w:rPr>
        <w:t>（B3，场景复用）+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artifacts/runs/v4-20260906-2870262/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（E1）+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archive/outputs_review_v3/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（B1 冻结策略）+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archive/outputs_llm_matrix_v3/</w:t>
      </w:r>
      <w:r>
        <w:rPr>
          <w:rFonts w:ascii="微软雅黑" w:hAnsi="微软雅黑" w:eastAsia="微软雅黑"/>
          <w:b w:val="0"/>
          <w:i w:val="0"/>
          <w:sz w:val="21"/>
        </w:rPr>
        <w:t>（E4）。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硬件门：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embedded/hardware_gates.md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tools/check_hardware_gates.py --run artifacts/runs/v4-20260906-bf6bda6</w:t>
      </w:r>
      <w:r>
        <w:rPr>
          <w:rFonts w:ascii="微软雅黑" w:hAnsi="微软雅黑" w:eastAsia="微软雅黑"/>
          <w:b w:val="0"/>
          <w:i w:val="0"/>
          <w:sz w:val="21"/>
        </w:rPr>
        <w:t>（3/3 PENDING 为当前诚实状态）。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教学附件：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reports/分报告/00–12</w:t>
      </w:r>
      <w:r>
        <w:rPr>
          <w:rFonts w:ascii="微软雅黑" w:hAnsi="微软雅黑" w:eastAsia="微软雅黑"/>
          <w:b w:val="0"/>
          <w:i w:val="0"/>
          <w:sz w:val="21"/>
        </w:rPr>
        <w:t>（B4 视角下第 03 篇划分描述与第 11 篇 B1 表格为历史版本，结论以本主报告 Ch5 为准）；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旧总报告/DOCX/PPT 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reports/legacy/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，唯一主报告为本文件（DOCX 见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docs/主报告.docx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，机器核对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tools/check_docx.py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+ 下述人工清单）。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交付检查（人工逐页，机器无法替代）：① DOCX 逐页翻阅——分页无表格断裂、无图注分离；② 四张图可读（坐标轴/图例/在带底纹）；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③ Ch3/Ch5 表格数字与 CSV 逐项对过（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check_docx.py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已做机器部分）；④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node tests/check_interactive_html.mjs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 CI 烟雾 HTML 上实跑通过；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⑤ 公式以 katex 烟雾 + 详细文档构建为准（本主报告无行内公式 debt）。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实验登记：正文/图表/CSV 统一用 E1–E5（B1/B2/B3/B4 后缀区分轮次）；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RESULTS.md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 E2 主结果表可定位版本。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