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面向机柜空调的 PI 自动整定与增益调度：统一仿真评估及软件在环验证（提交版主报告）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范围声明（必读）：本报告主结论限定为 E2“已冻结策略在同一 v4 仿真条件下的重评”+ E1/E3–E5 工程验证。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E2 有两轮：B1 混合冻结重评（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sealed-80x7-v4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，v3 冻结 + legacy 保守 + replay）与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B2 统一重训后重评（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sealed-80x7-v4-retrain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，同一 48/16/16 流水线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v4-20260907-8f3fd5f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全量重训冻结，legacy 双清零）。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B2 为统一训练预算比较，B1 不是。教程式操作步骤、分算法曲线、历史批次说明分别见附件（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reports/分报告/00–12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为教学附件，非正文）。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每个数字可定位到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EXPERIMENTS.md 登记编号 + 文件 + 行/列 + code_sha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；E2 两轮证据见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artifacts/runs/sealed-80x7-v4*/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摘要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对象为小型机柜空调单区 3R2C 热对象（执行器含延迟/惯性/ slew/量化/最小运行约束，传感器含噪声与滤波）。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工作分为离线整定/训练、冻结策略、在线增益调度、安全 PI 四段边界；LLM 不进入快速控制环，仅做离线建议。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主实验 E2 将 7 种已冻结策略放在同一 80 场景密封清单、同一噪声种子、同一六子步 v4 积分器、同一指标下重评（每轮 560 条记录）。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主统计量为逐场景配对比均值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mean(J/J_imc)</w:t>
      </w:r>
      <w:r>
        <w:rPr>
          <w:rFonts w:ascii="微软雅黑" w:hAnsi="微软雅黑" w:eastAsia="微软雅黑"/>
          <w:b w:val="0"/>
          <w:i w:val="0"/>
          <w:sz w:val="21"/>
        </w:rPr>
        <w:t xml:space="preserve"> + bootstrap 95% CI；验收为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bounded &amp; comfort_held &amp; recovery_ok &amp; actuator_compliant</w:t>
      </w:r>
      <w:r>
        <w:rPr>
          <w:rFonts w:ascii="微软雅黑" w:hAnsi="微软雅黑" w:eastAsia="微软雅黑"/>
          <w:b w:val="0"/>
          <w:i w:val="0"/>
          <w:sz w:val="21"/>
        </w:rPr>
        <w:t xml:space="preserve"> 四项全过。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B1（混合冻结）主要发现：数值有界 7/7 达 80/80，但温控验收仅 Safe-BO 保守参数 51/80 明显领先，其余 38–40/80，Z-N 6/80。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性能上仅 Safe-BO 保守参数显著优于 IMC（0.9185 [0.8863,0.9516]），BO/FNN/RL/LLM-replay 与 IMC 持平区间（RL 0.9817 [0.9620,1.0070] 含 1，未证显著优；旧版 0.9664 实为均值之比，已更正）。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B2（统一重训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v4-20260907-8f3fd5f</w:t>
      </w:r>
      <w:r>
        <w:rPr>
          <w:rFonts w:ascii="微软雅黑" w:hAnsi="微软雅黑" w:eastAsia="微软雅黑"/>
          <w:b w:val="0"/>
          <w:i w:val="0"/>
          <w:sz w:val="21"/>
        </w:rPr>
        <w:t>，48/16/16，legacy 双清零）主要发现：在同一训练预算下，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没有任何方法显著优于 IMC——BO 1.0785 [1.0424,1.1146] 显著更差（训练过拟合），Safe-BO 回落到等于 IMC（选中基线本身），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FNN 0.9920 [0.9762,1.0102]、RL 0.9801 [0.9611,1.0041] 均与 IMC 持平。这是诚实的阴性结果，见 §5 第二表。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E3 消融显示随机增益差 3–8×，保守公式差 5.9×；Safe-BO 证据支持该保守参数集，不证明 GP 搜索机制。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E3+ 同预算归因（B2 训练谱，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gp_attribution.csv</w:t>
      </w:r>
      <w:r>
        <w:rPr>
          <w:rFonts w:ascii="微软雅黑" w:hAnsi="微软雅黑" w:eastAsia="微软雅黑"/>
          <w:b w:val="0"/>
          <w:i w:val="0"/>
          <w:sz w:val="21"/>
        </w:rPr>
        <w:t>）：GP 为 BO 带来训练均值 +6.0%/密封配对比 +6.8% 的相对增益（BO-full 1.0785 vs 同初值 1.1567 vs 同预算纯随机 1.3266），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但三者绝对值均差于 IMC——GP 机制有效但不足以让 BO 在本预算下超过调好的 IMC。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E4 LLM 真实矩阵独立报告采用率与回退（v3 矩阵 5/18 部署，v4 矩阵 1/18 部署），不参与 E2 排名。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E5 PC-SIL/Python-C++ 对拍/ESP32 编译证明软件一致性，不代替实体温控实验（实体遥测/目标 WCET/HIL 三门待外部验证，本机 ESP32 编译因工具链路径含中文失败未刷新，见尝试日志）。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任务与评价目标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输入为区温误差（°C），输出为归一化制冷容量指令（0–1，容量比例）；Kp 单位为容量比例/°C，Ki 为容量比例/(°C·min)。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控制目标为综合目标 J 最小（IAE/ITAE/舒适越限/欠调/调节时间/动作量/输出方差/能耗加权，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hvac_pid/metrics.py:objective_from_metrics</w:t>
      </w:r>
      <w:r>
        <w:rPr>
          <w:rFonts w:ascii="微软雅黑" w:hAnsi="微软雅黑" w:eastAsia="微软雅黑"/>
          <w:b w:val="0"/>
          <w:i w:val="0"/>
          <w:sz w:val="21"/>
        </w:rPr>
        <w:t>），约束为安全信任域 ±10% 与执行器合规（slew/最小运行/启停）。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验收标准拆分为四项：bounded（数值有限且 5–45°C）、comfort_held（启动后持续 60 min 在 ±0.5°C 带）、recovery_ok（扰动/切温后 60 min 持续在带）、actuator_compliant；四项全过记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validation_passed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回退执行不记通过，回退后仍未通过记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fallback_failed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</w:t>
      </w:r>
      <w:r>
        <w:rPr>
          <w:rFonts w:ascii="微软雅黑" w:hAnsi="微软雅黑" w:eastAsia="微软雅黑"/>
          <w:b w:val="0"/>
          <w:i w:val="0"/>
          <w:sz w:val="21"/>
        </w:rPr>
        <w:t xml:space="preserve"> 仅指数值有界，不得等同验收。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系统架构与对象模型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运行架构：上位机离线整定/训练 → 冻结策略（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PolicyBundle</w:t>
      </w:r>
      <w:r>
        <w:rPr>
          <w:rFonts w:ascii="微软雅黑" w:hAnsi="微软雅黑" w:eastAsia="微软雅黑"/>
          <w:b w:val="0"/>
          <w:i w:val="0"/>
          <w:sz w:val="21"/>
        </w:rPr>
        <w:t xml:space="preserve"> 同目录版本锁定）→ 在线增益调度（FNN/RL 按状态查表/覆盖掩码回退 IMC）→ 安全 PI（含 ±10% 限幅与回退）→ 执行器（延迟/惯性/slew/量化/最小开停机）→ 3R2C 热对象 → 传感器（噪声/滤波）→ 闭环。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证据流程：实验配置（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experiments/manifests/v4.yaml</w:t>
      </w:r>
      <w:r>
        <w:rPr>
          <w:rFonts w:ascii="微软雅黑" w:hAnsi="微软雅黑" w:eastAsia="微软雅黑"/>
          <w:b w:val="0"/>
          <w:i w:val="0"/>
          <w:sz w:val="21"/>
        </w:rPr>
        <w:t xml:space="preserve"> 唯一事实源）→ 数据划分（48 训练/16 验证/16 测试 + 5×16=80 密封，种子固定）→ 训练/选择 → 冻结 → 独立评估（E2）→ 统计（主/次分开）→ 报告（本主报告 + 附件）。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对象模型为 3R2C 单区，E1 已验证数值实现（六子步 N=6，初次降温 max 0.025154°C ≤0.15）与 FOPDT 代理精度（归一化 RMSE 11.88–11.95% ≤15%）。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时间口径：仿真监督 300 s、外层 60 s/内层 10 s×6 子步、演示 120 s、MCU 快环 100 ms + AI 环 2 s；LLM 离线秒级，不在快环时序内。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七类方法及统一接口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改什么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输入→输出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训练与部署区别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一次阶跃辨识 + 经验公式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FOPDT→固定 Kp/Ki（限幅后 1.5/0.08）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无训练，E2 对照基线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λ 一维扫描选公式参数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FOPDT+λ→固定 0.5175/0.004054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21 λ 穷举，冻结即回退基准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GP+EI 在 log(Kp,Ki) 直接搜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J→固定 0.5355/0.006345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 评估，冻结部署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Safe-BO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风险约束下保守选点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J+风险→固定 0.3838/0.004441（本轮为初始保守种子）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本轮证明参数集，不证搜索机制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规则表 + 上下文系数在线调度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状态→Δ增益（IMC 附近 ±10%）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离线训表，在线查表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Q 表 + 覆盖掩码在线调度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状态→Δ增益，未覆盖回退 IMC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离线训表，在线掩码门控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离线建议 + 程序验收 gate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工况描述→候选增益（replay 冻结等于 IMC）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E2 为 replay 冻结；真实调用见 E4 独立矩阵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统一接口为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PolicyBundle</w:t>
      </w:r>
      <w:r>
        <w:rPr>
          <w:rFonts w:ascii="微软雅黑" w:hAnsi="微软雅黑" w:eastAsia="微软雅黑"/>
          <w:b w:val="0"/>
          <w:i w:val="0"/>
          <w:sz w:val="21"/>
        </w:rPr>
        <w:t>（IMC/BO/SafeBO/FNN 表+上下文/RL 表+掩码同目录冻结，缺文件报错，legacy 回退显式标记）；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run.py sealed/embedded/pipeline</w:t>
      </w:r>
      <w:r>
        <w:rPr>
          <w:rFonts w:ascii="微软雅黑" w:hAnsi="微软雅黑" w:eastAsia="微软雅黑"/>
          <w:b w:val="0"/>
          <w:i w:val="0"/>
          <w:sz w:val="21"/>
        </w:rPr>
        <w:t xml:space="preserve"> 均经此加载，禁止各入口自行拼装。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实验设计与复现协议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E1 数值/FOPDT：三典型工况（初次快速降温/设定突变/持续热扰动），阈值未动，物理改为子步进后通过。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E2 密封重评：80 场景（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acceptance_seeds=101,211,307,401,503</w:t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seed+100003+seed_i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，噪声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seed+700000+ordinal</w:t>
      </w:r>
      <w:r>
        <w:rPr>
          <w:rFonts w:ascii="微软雅黑" w:hAnsi="微软雅黑" w:eastAsia="微软雅黑"/>
          <w:b w:val="0"/>
          <w:i w:val="0"/>
          <w:sz w:val="21"/>
        </w:rPr>
        <w:t>），七算法同场景同种子同积分器同指标；FNN/RL 记候选 vs 执行；测试后调参换新密封集。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E3 消融：同 80 场景 4 组随机固定增益 + 保守 IMC 公式，隔离“搜索 vs 保守初值”。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E4 LLM 矩阵：v3 矩阵 18 运行/18 真实/18 有界/5 部署；v4 矩阵 18 运行/1 部署/17 回退；报告采用率、回退后验收与成本，独立成表。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E5 对拍/SIL：75 组 Python/C++ 对拍 ~2.98e-8、CRC、PC-SIL 分频、ESP32 目标编译（RAM/Flash 记录）；历史 Modelica DASSL 12 h 为历史证据，当前未复现。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统计：主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mean(obj/imc)</w:t>
      </w:r>
      <w:r>
        <w:rPr>
          <w:rFonts w:ascii="微软雅黑" w:hAnsi="微软雅黑" w:eastAsia="微软雅黑"/>
          <w:b w:val="0"/>
          <w:i w:val="0"/>
          <w:sz w:val="21"/>
        </w:rPr>
        <w:t xml:space="preserve"> + bootstrap CI（2000，seed+77），非劣界 1.02（上界≤1.02），显著优要求上界&lt;1.0；次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mean(obj)/mean(imc)</w:t>
      </w:r>
      <w:r>
        <w:rPr>
          <w:rFonts w:ascii="微软雅黑" w:hAnsi="微软雅黑" w:eastAsia="微软雅黑"/>
          <w:b w:val="0"/>
          <w:i w:val="0"/>
          <w:sz w:val="21"/>
        </w:rPr>
        <w:t xml:space="preserve"> 仅对照。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复现：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run.py sealed --artifact-dir &lt;bundle&gt; --output &lt;run&gt;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；一致性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tools/check_results_consistency.py --sealed-dir &lt;run&gt;</w:t>
      </w:r>
      <w:r>
        <w:rPr>
          <w:rFonts w:ascii="微软雅黑" w:hAnsi="微软雅黑" w:eastAsia="微软雅黑"/>
          <w:b w:val="0"/>
          <w:i w:val="0"/>
          <w:sz w:val="21"/>
        </w:rPr>
        <w:t>（重算均值/双统计量/CI/验收/回退定义/溯源）。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结果与失败分析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主结果（E2-B1 混合冻结轮，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sealed-80x7-v4/sealed_80_summary.csv:2-8</w:t>
      </w:r>
      <w:r>
        <w:rPr>
          <w:rFonts w:ascii="微软雅黑" w:hAnsi="微软雅黑" w:eastAsia="微软雅黑"/>
          <w:b w:val="0"/>
          <w:i w:val="0"/>
          <w:sz w:val="21"/>
        </w:rPr>
        <w:t>，性能与验收并列）：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 J↓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主配对比 [95% CI]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验收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结论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61.72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1.6520 [1.5427,1.7666]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E2 内显著差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基准；有界全过但验收不足半数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41.95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0.9996 [0.9808,1.0193]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IMC 相当，不称优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Safe-BO 保守参数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36.72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0.9185 [0.8863,0.9516]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本轮最优；归属为参数集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41.44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0.9980 [0.9886,1.0084]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非劣，未证显著优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39.83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0.9817 [0.9620,1.0070]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非劣，未证显著优；4 回退后仍未过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replay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持平 IMC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等于 IMC，非实时调用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失败分析：有界 80/80、执行器 80/80 全过；瓶颈在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comfort_held</w:t>
      </w:r>
      <w:r>
        <w:rPr>
          <w:rFonts w:ascii="微软雅黑" w:hAnsi="微软雅黑" w:eastAsia="微软雅黑"/>
          <w:b w:val="0"/>
          <w:i w:val="0"/>
          <w:sz w:val="21"/>
        </w:rPr>
        <w:t xml:space="preserve">（IMC 44/80→验收 39/80）与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recovery_ok</w:t>
      </w:r>
      <w:r>
        <w:rPr>
          <w:rFonts w:ascii="微软雅黑" w:hAnsi="微软雅黑" w:eastAsia="微软雅黑"/>
          <w:b w:val="0"/>
          <w:i w:val="0"/>
          <w:sz w:val="21"/>
        </w:rPr>
        <w:t>（Safe-BO 60→51）。即 J 尚可但未持续在带——回退基准在困难谱同样不合格，否定“回退基准本身合格”。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归因：E3 随机 3–8× 更差说明非随机已是价值；Safe-BO 选中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evaluation=2/local qualification seed</w:t>
      </w:r>
      <w:r>
        <w:rPr>
          <w:rFonts w:ascii="微软雅黑" w:hAnsi="微软雅黑" w:eastAsia="微软雅黑"/>
          <w:b w:val="0"/>
          <w:i w:val="0"/>
          <w:sz w:val="21"/>
        </w:rPr>
        <w:t>，机制未证，需同初始化同预算随机搜索对照补强（E3 已有随机对照，固定保守对照为公式默认，GP 机制对照仍缺）。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成本：BO 14、SafeBO 7 评估最轻；FNN ~4181 h、RL ~4018 h 等效对象时最重；LLM 单次 5–25 s + API 最贵。RL 回退 5%（4/80）全部记失败，FNN 无回退。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统一重训轮（E2-B2，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sealed-80x7-v4-retrain/sealed_80_summary.csv</w:t>
      </w:r>
      <w:r>
        <w:rPr>
          <w:rFonts w:ascii="微软雅黑" w:hAnsi="微软雅黑" w:eastAsia="微软雅黑"/>
          <w:b w:val="0"/>
          <w:i w:val="0"/>
          <w:sz w:val="21"/>
        </w:rPr>
        <w:t>，同一流水线冻结，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bo_legacy_fallback=0/safe_bo_legacy_fallback=0</w:t>
      </w:r>
      <w:r>
        <w:rPr>
          <w:rFonts w:ascii="微软雅黑" w:hAnsi="微软雅黑" w:eastAsia="微软雅黑"/>
          <w:b w:val="0"/>
          <w:i w:val="0"/>
          <w:sz w:val="21"/>
        </w:rPr>
        <w:t>，一致性校验通过）：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 J↓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主配对比 [95% CI]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验收</w:t>
            </w:r>
          </w:p>
        </w:tc>
        <w:tc>
          <w:tcPr>
            <w:tcW w:type="dxa" w:w="1904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读法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61.72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1.6509 [1.5407,1.7630]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显著差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基准（本轮 λ 重扫，增益与 B1 基本一致）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45.02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1.0785 [1.0424,1.1146]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33/80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显著差于 IMC：14 次评估过拟合训练谱，同预算下不可靠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Safe-BO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1.0000 等于 IMC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本轮选中基线本身（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evaluation=1/known baseline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），无增益、无损失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41.17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0.9920 [0.9762,1.0102]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IMC 持平（部署验收通过，但密封未显著优）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0.9801 [0.9611,1.0041]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 IMC 持平，CI 含 1</w:t>
            </w:r>
          </w:p>
        </w:tc>
      </w:tr>
      <w:tr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replay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41.24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持平 IMC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40/80</w:t>
            </w:r>
          </w:p>
        </w:tc>
        <w:tc>
          <w:tcPr>
            <w:tcW w:type="dxa" w:w="1904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等于 IMC，非实时调用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E3+ 同预算归因（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sealed-80x7-v4-retrain/gp_attribution.csv</w:t>
      </w:r>
      <w:r>
        <w:rPr>
          <w:rFonts w:ascii="微软雅黑" w:hAnsi="微软雅黑" w:eastAsia="微软雅黑"/>
          <w:b w:val="0"/>
          <w:i w:val="0"/>
          <w:sz w:val="21"/>
        </w:rPr>
        <w:t>，同 48 训练谱选型、同 80 密封评价）：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BO-full 密封 45.02（1.0785）vs 初值最优 init-only-7 密封 46.30（1.1567）vs 同预算纯随机 random-14 密封 49.52（1.3266）vs 保守公式 250.23（7.98×）。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GP 相对贡献为正（训练均值好 6.0%，密封配对比好约 6.8%，比纯随机好约 18.7%），但绝对值仍不如 IMC——结论是“GP 搜索机制有效，但在本预算/种子下不足以超越调好的 IMC”，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而不是“BO 无用”或“BO 最优”，两种简化读法都禁止。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软件在环与部署边界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导出：冻结策略经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PolicyBundle</w:t>
      </w:r>
      <w:r>
        <w:rPr>
          <w:rFonts w:ascii="微软雅黑" w:hAnsi="微软雅黑" w:eastAsia="微软雅黑"/>
          <w:b w:val="0"/>
          <w:i w:val="0"/>
          <w:sz w:val="21"/>
        </w:rPr>
        <w:t xml:space="preserve"> 哈希锁定，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manifest.yaml</w:t>
      </w:r>
      <w:r>
        <w:rPr>
          <w:rFonts w:ascii="微软雅黑" w:hAnsi="微软雅黑" w:eastAsia="微软雅黑"/>
          <w:b w:val="0"/>
          <w:i w:val="0"/>
          <w:sz w:val="21"/>
        </w:rPr>
        <w:t xml:space="preserve"> 随 run 冻结，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sealed_scenarios.csv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存全场景清单，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code_sha</w:t>
      </w:r>
      <w:r>
        <w:rPr>
          <w:rFonts w:ascii="微软雅黑" w:hAnsi="微软雅黑" w:eastAsia="微软雅黑"/>
          <w:b w:val="0"/>
          <w:i w:val="0"/>
          <w:sz w:val="21"/>
        </w:rPr>
        <w:t xml:space="preserve"> + 脏位如实记录。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B2 轮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policy_provenance</w:t>
      </w:r>
      <w:r>
        <w:rPr>
          <w:rFonts w:ascii="微软雅黑" w:hAnsi="微软雅黑" w:eastAsia="微软雅黑"/>
          <w:b w:val="0"/>
          <w:i w:val="0"/>
          <w:sz w:val="21"/>
        </w:rPr>
        <w:t xml:space="preserve"> 中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bo_legacy_fallback=0/safe_bo_legacy_fallback=0</w:t>
      </w:r>
      <w:r>
        <w:rPr>
          <w:rFonts w:ascii="微软雅黑" w:hAnsi="微软雅黑" w:eastAsia="微软雅黑"/>
          <w:b w:val="0"/>
          <w:i w:val="0"/>
          <w:sz w:val="21"/>
        </w:rPr>
        <w:t xml:space="preserve">，RL 掩码为冻结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rl_covered_mask.npy</w:t>
      </w:r>
      <w:r>
        <w:rPr>
          <w:rFonts w:ascii="微软雅黑" w:hAnsi="微软雅黑" w:eastAsia="微软雅黑"/>
          <w:b w:val="0"/>
          <w:i w:val="0"/>
          <w:sz w:val="21"/>
        </w:rPr>
        <w:t>（非重建），FNN/RL 部署验收均为通过。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对拍：Python/C++ 差 ~3e-8 量级；CRC 校验；PC-SIL 按 100 ms/2 s 分频跑通（B2 run 内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mcu_pc_sil_log.txt:PASS</w:t>
      </w:r>
      <w:r>
        <w:rPr>
          <w:rFonts w:ascii="微软雅黑" w:hAnsi="微软雅黑" w:eastAsia="微软雅黑"/>
          <w:b w:val="0"/>
          <w:i w:val="0"/>
          <w:sz w:val="21"/>
        </w:rPr>
        <w:t>，worst PI 300 ns / AI 42.2 µs 均为 HOST 二进制计时）；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主机 WCET 参考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host_wcet.csv</w:t>
      </w:r>
      <w:r>
        <w:rPr>
          <w:rFonts w:ascii="微软雅黑" w:hAnsi="微软雅黑" w:eastAsia="微软雅黑"/>
          <w:b w:val="0"/>
          <w:i w:val="0"/>
          <w:sz w:val="21"/>
        </w:rPr>
        <w:t>（PC Python 单步约 10–230 µs，HOST-ONLY）；ESP32 目标编译在本机刷新失败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（xtensa 工具链无法处理用户路径中文字符，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esp32_target_compile_attempt.log</w:t>
      </w:r>
      <w:r>
        <w:rPr>
          <w:rFonts w:ascii="微软雅黑" w:hAnsi="微软雅黑" w:eastAsia="微软雅黑"/>
          <w:b w:val="0"/>
          <w:i w:val="0"/>
          <w:sz w:val="21"/>
        </w:rPr>
        <w:t xml:space="preserve"> 存证，历史 RAM/Flash 记录维持，门仍为 PENDING）。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边界：以上证明软件一致性，不证明与真实机柜对象对应，更不代替实体 10 分钟遥测、真实 WCET、HIL、Modbus 写入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（三门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tools/check_hardware_gates.py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当前 3/3 PENDING，不得仿真冒充）。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LLM 边界：E2 replay 非实时调用；E4 真实矩阵链路通≠模型好用，回退率与成本单独报告。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结论与局限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分条件结论：B1 谱内，保守 Safe-BO 参数集性能与验收双优但机制未证；B2 统一预算下，无任何方法显著优于 IMC（BO 显著差，Safe-BO 持平，FNN/RL/LLM 持平区间）；Z-N 两轮均显著差。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局限：B2 只完成单一种子单预算统一重训，多种子重复、更大 BO 预算、GP 机制“仅初始化不搜索”长期对照仍缺；实体/HIL/目标 WCET 全缺（3/3 PENDING）；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DOCX 排版以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tools/check_docx.py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逐节核对为准，PDF 未生成。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下一步：固定 E2 两轮批次不再覆盖（新批次换 run_id）；补多种子重复与更大预算 BO；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补 E4 真实调用矩阵的失败原因与成本明细；随后实测辨识→遥测→HIL 逐层验收，每层追溯到同一策略版本。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附件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复现指南：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README.md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EXPERIMENTS.md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run.py --help</w:t>
      </w:r>
      <w:r>
        <w:rPr>
          <w:rFonts w:ascii="微软雅黑" w:hAnsi="微软雅黑" w:eastAsia="微软雅黑"/>
          <w:b w:val="0"/>
          <w:i w:val="0"/>
          <w:sz w:val="21"/>
        </w:rPr>
        <w:t xml:space="preserve">（环境/快速运行/冻结重评/完整训练/图表/排查）；算法差异见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docs/ALGORITHM_GUIDE.md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完整重训：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run.py pipeline --output artifacts/runs/&lt;run_id&gt; --seed 7</w:t>
      </w:r>
      <w:r>
        <w:rPr>
          <w:rFonts w:ascii="微软雅黑" w:hAnsi="微软雅黑" w:eastAsia="微软雅黑"/>
          <w:b w:val="0"/>
          <w:i w:val="0"/>
          <w:sz w:val="21"/>
        </w:rPr>
        <w:t>（本轮约 227 s）→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A31515"/>
          <w:sz w:val="19"/>
        </w:rPr>
        <w:t>python run.py sealed --artifact-dir artifacts/runs/&lt;run_id&gt; --output artifacts/runs/&lt;sealed_id&gt;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A31515"/>
          <w:sz w:val="19"/>
        </w:rPr>
        <w:t>python tools/run_gp_attribution.py --artifact-dir artifacts/runs/&lt;run_id&gt; --output artifacts/runs/&lt;sealed_id&gt;/gp_attribution.csv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证据附件：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artifacts/runs/sealed-80x7-v4/</w:t>
      </w:r>
      <w:r>
        <w:rPr>
          <w:rFonts w:ascii="微软雅黑" w:hAnsi="微软雅黑" w:eastAsia="微软雅黑"/>
          <w:b w:val="0"/>
          <w:i w:val="0"/>
          <w:sz w:val="21"/>
        </w:rPr>
        <w:t xml:space="preserve">（B1）+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artifacts/runs/sealed-80x7-v4-retrain/</w:t>
      </w:r>
      <w:r>
        <w:rPr>
          <w:rFonts w:ascii="微软雅黑" w:hAnsi="微软雅黑" w:eastAsia="微软雅黑"/>
          <w:b w:val="0"/>
          <w:i w:val="0"/>
          <w:sz w:val="21"/>
        </w:rPr>
        <w:t xml:space="preserve">（B2，含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gp_attribution.csv</w:t>
      </w:r>
      <w:r>
        <w:rPr>
          <w:rFonts w:ascii="微软雅黑" w:hAnsi="微软雅黑" w:eastAsia="微软雅黑"/>
          <w:b w:val="0"/>
          <w:i w:val="0"/>
          <w:sz w:val="21"/>
        </w:rPr>
        <w:t>）+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artifacts/runs/v4-20260907-8f3fd5f/</w:t>
      </w:r>
      <w:r>
        <w:rPr>
          <w:rFonts w:ascii="微软雅黑" w:hAnsi="微软雅黑" w:eastAsia="微软雅黑"/>
          <w:b w:val="0"/>
          <w:i w:val="0"/>
          <w:sz w:val="21"/>
        </w:rPr>
        <w:t>（B2 训练冻结：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bo_policy.json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safe_bo_policy.json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rl_covered_mask.npy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host_wcet.csv</w:t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mcu_pc_sil_log.txt</w:t>
      </w:r>
      <w:r>
        <w:rPr>
          <w:rFonts w:ascii="微软雅黑" w:hAnsi="微软雅黑" w:eastAsia="微软雅黑"/>
          <w:b w:val="0"/>
          <w:i w:val="0"/>
          <w:sz w:val="21"/>
        </w:rPr>
        <w:t>）+</w:t>
      </w:r>
    </w:p>
    <w:p>
      <w:pPr>
        <w:spacing w:after="80"/>
      </w:pPr>
      <w:r>
        <w:rPr>
          <w:rFonts w:ascii="Consolas" w:hAnsi="Consolas" w:eastAsia="微软雅黑"/>
          <w:b w:val="0"/>
          <w:i w:val="0"/>
          <w:color w:val="A31515"/>
          <w:sz w:val="19"/>
        </w:rPr>
        <w:t>artifacts/runs/v4-20260906-2870262/</w:t>
      </w:r>
      <w:r>
        <w:rPr>
          <w:rFonts w:ascii="微软雅黑" w:hAnsi="微软雅黑" w:eastAsia="微软雅黑"/>
          <w:b w:val="0"/>
          <w:i w:val="0"/>
          <w:sz w:val="21"/>
        </w:rPr>
        <w:t xml:space="preserve">（E1）+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archive/outputs_review_v3/</w:t>
      </w:r>
      <w:r>
        <w:rPr>
          <w:rFonts w:ascii="微软雅黑" w:hAnsi="微软雅黑" w:eastAsia="微软雅黑"/>
          <w:b w:val="0"/>
          <w:i w:val="0"/>
          <w:sz w:val="21"/>
        </w:rPr>
        <w:t xml:space="preserve">（B1 冻结策略）+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archive/outputs_llm_matrix_v3/</w:t>
      </w:r>
      <w:r>
        <w:rPr>
          <w:rFonts w:ascii="微软雅黑" w:hAnsi="微软雅黑" w:eastAsia="微软雅黑"/>
          <w:b w:val="0"/>
          <w:i w:val="0"/>
          <w:sz w:val="21"/>
        </w:rPr>
        <w:t>（E4）。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硬件门：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embedded/hardware_gates.md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tools/check_hardware_gates.py --run &lt;run&gt;</w:t>
      </w:r>
      <w:r>
        <w:rPr>
          <w:rFonts w:ascii="微软雅黑" w:hAnsi="微软雅黑" w:eastAsia="微软雅黑"/>
          <w:b w:val="0"/>
          <w:i w:val="0"/>
          <w:sz w:val="21"/>
        </w:rPr>
        <w:t>（3/3 PENDING 为当前诚实状态）。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教学附件：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reports/分报告/00–12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（操作教程与单算法曲线，主文用同轴对比，单曲线放附件）；旧总报告/DOCX/PPT 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reports/legacy/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，唯一主报告为本文件（DOCX 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docs/主报告.docx</w:t>
      </w:r>
      <w:r>
        <w:rPr>
          <w:rFonts w:ascii="微软雅黑" w:hAnsi="微软雅黑" w:eastAsia="微软雅黑"/>
          <w:b w:val="0"/>
          <w:i w:val="0"/>
          <w:sz w:val="21"/>
        </w:rPr>
        <w:t xml:space="preserve">，核对见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tools/check_docx.py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实验登记：正文/图表/CSV 统一用 E1–E5；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RESULTS.md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 E2 主结果表可定位版本。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