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07 算法报告：FNN 在线自整定（5×5 TSK 规则面）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30 秒看懂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：先离线用 BO 穷举出 4464 个"这种工况下最好的参数"当教材，再拟合成一张 25 格的查表；运行时空调每 2 秒查一次表调参数。想自己跑：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run.py pipeline --quick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（完整版约 8 秒 PC 时间）。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：2026-09-03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数据口径</w:t>
      </w:r>
      <w:r>
        <w:rPr>
          <w:rFonts w:ascii="微软雅黑" w:hAnsi="微软雅黑" w:eastAsia="微软雅黑"/>
          <w:b w:val="0"/>
          <w:i w:val="0"/>
          <w:sz w:val="21"/>
        </w:rPr>
        <w:t>：v3 封存验收批次（48 场景训练、25 条 TSK 规则表）+ 整定耗时基准。溯源见附录 A。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一句话定位</w:t>
      </w:r>
      <w:r>
        <w:rPr>
          <w:rFonts w:ascii="微软雅黑" w:hAnsi="微软雅黑" w:eastAsia="微软雅黑"/>
          <w:b w:val="0"/>
          <w:i w:val="0"/>
          <w:sz w:val="21"/>
        </w:rPr>
        <w:t>：把"当前偏差 e 和偏差变化率 ė"模糊化成 5×5 网格，25 条零阶 TSK 规则存成一张可在 MCU 上查的表——离线用 BO 造标签训练，在线每 2 s 查表调增益。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 算法所需数据、输入与输出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项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所需数据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离线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：48 个训练场景 × 各做一轮完整 BO，得到 4464 个"(e, ė) → BO 最优增益"标签；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在线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：仅需当前 e 与 ė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输入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 = Tz−Tsp（中心点 [−3, −0.75, 0, 1.5, 5] °C）；ė = Δe/Δt（中心点 [−0.30, −0.05, 0, 0.05, 0.30] °C/min）——用变化率而非增量，使 PC 5 min 训练节拍与 MCU 秒级节拍物理含义一致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输出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在线时变 Kp(t)/Ki(t)：每次仅 4 条相邻规则非零激活，加权平均后经公共限幅与变化率限制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产物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规则表文件（25 条规则后件，文件名见附录 A）；封存清单中规则值约 Kp∈[0.49, 0.53]、Ki∈[0.0048, 0.0049]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 能否自整定 / 能否自动整定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判定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结论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投运后每 2 s 根据当前 (e, ė) 在线调整增益，无需人工干预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自动整定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训练阶段是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标签由 BO 自动生成、规则面自动学习、上线检查自动判定；但"造标签"依赖 BO，不是无师自通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 运行框图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58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fn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8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7-1 FNN 运行框图（离线训练 / 在线查表双通道）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上线检查有两条：规则覆盖率 ≥80% 且平均目标不比 IMC 差，否则自动改用 IMC 参数（没通过的候选规则表另存一份供审计，文件名见附录 A）；在线增益单次变化 ≤25%，异常时切回 IMC。在线推理 </w:t>
      </w:r>
      <w:r>
        <w:rPr>
          <w:rFonts w:ascii="微软雅黑" w:hAnsi="微软雅黑" w:eastAsia="微软雅黑"/>
          <w:b/>
          <w:i w:val="0"/>
          <w:sz w:val="21"/>
        </w:rPr>
        <w:t>78.2 µs/次</w:t>
      </w:r>
      <w:r>
        <w:rPr>
          <w:rFonts w:ascii="微软雅黑" w:hAnsi="微软雅黑" w:eastAsia="微软雅黑"/>
          <w:b w:val="0"/>
          <w:i w:val="0"/>
          <w:sz w:val="21"/>
        </w:rPr>
        <w:t>（实测）。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 离线训练过程：4464 个标签 → 25 条规则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FNN 的"学习"全部发生在离线：48 个训练场景各跑一轮完整 BO，把 BO 在每个 (e, ė) 网格位置上选出的最优增益记成标签，共 </w:t>
      </w:r>
      <w:r>
        <w:rPr>
          <w:rFonts w:ascii="微软雅黑" w:hAnsi="微软雅黑" w:eastAsia="微软雅黑"/>
          <w:b/>
          <w:i w:val="0"/>
          <w:sz w:val="21"/>
        </w:rPr>
        <w:t>4464 个"(e, ė) → BO 最优增益"标签</w:t>
      </w:r>
      <w:r>
        <w:rPr>
          <w:rFonts w:ascii="微软雅黑" w:hAnsi="微软雅黑" w:eastAsia="微软雅黑"/>
          <w:b w:val="0"/>
          <w:i w:val="0"/>
          <w:sz w:val="21"/>
        </w:rPr>
        <w:t>；随后用带先验的最小二乘把这一批标签拟合到 5×5 = 25 条零阶 TSK 规则的后件上（在线时每次只有 4 条相邻规则非零激活，加权平均后限幅输出）。图 7-2 的两个子图分别回答两个问题：拟合得好不好、规则面有没有被"走遍"。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2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fnn训练收敛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7-2 FNN 离线训练：标签拟合误差与 5×5 规则覆盖率（v3 封存数据）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这张图怎么看</w:t>
      </w:r>
      <w:r>
        <w:rPr>
          <w:rFonts w:ascii="微软雅黑" w:hAnsi="微软雅黑" w:eastAsia="微软雅黑"/>
          <w:b w:val="0"/>
          <w:i w:val="0"/>
          <w:sz w:val="21"/>
        </w:rPr>
        <w:t>：两子图横轴相同，都是</w:t>
      </w:r>
      <w:r>
        <w:rPr>
          <w:rFonts w:ascii="微软雅黑" w:hAnsi="微软雅黑" w:eastAsia="微软雅黑"/>
          <w:b/>
          <w:i w:val="0"/>
          <w:sz w:val="21"/>
        </w:rPr>
        <w:t>参与训练的工况数</w:t>
      </w:r>
      <w:r>
        <w:rPr>
          <w:rFonts w:ascii="微软雅黑" w:hAnsi="微软雅黑" w:eastAsia="微软雅黑"/>
          <w:b w:val="0"/>
          <w:i w:val="0"/>
          <w:sz w:val="21"/>
        </w:rPr>
        <w:t>（1–48）。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（a）</w:t>
      </w:r>
      <w:r>
        <w:rPr>
          <w:rFonts w:ascii="微软雅黑" w:hAnsi="微软雅黑" w:eastAsia="微软雅黑"/>
          <w:b w:val="0"/>
          <w:i w:val="0"/>
          <w:sz w:val="21"/>
        </w:rPr>
        <w:t xml:space="preserve"> 纵轴 = log-RMSE（标签拟合误差，越低越好），橙空心圈标出最低点。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（b）</w:t>
      </w:r>
      <w:r>
        <w:rPr>
          <w:rFonts w:ascii="微软雅黑" w:hAnsi="微软雅黑" w:eastAsia="微软雅黑"/>
          <w:b w:val="0"/>
          <w:i w:val="0"/>
          <w:sz w:val="21"/>
        </w:rPr>
        <w:t xml:space="preserve"> 纵轴 = 规则覆盖率（%），即 25 条规则中至少被一个训练样本激活过的比例；灰色点线是部署验收门下限 80%。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从图里能读出四件事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拟合误差先快速下降，第 14 个工况触底后不降反升</w:t>
      </w:r>
      <w:r>
        <w:rPr>
          <w:rFonts w:ascii="微软雅黑" w:hAnsi="微软雅黑" w:eastAsia="微软雅黑"/>
          <w:b w:val="0"/>
          <w:i w:val="0"/>
          <w:sz w:val="21"/>
        </w:rPr>
        <w:t xml:space="preserve">。误差从第 1 个工况的 1.411 降到第 14 个工况的 </w:t>
      </w:r>
      <w:r>
        <w:rPr>
          <w:rFonts w:ascii="微软雅黑" w:hAnsi="微软雅黑" w:eastAsia="微软雅黑"/>
          <w:b/>
          <w:i w:val="0"/>
          <w:sz w:val="21"/>
        </w:rPr>
        <w:t>0.725</w:t>
      </w:r>
      <w:r>
        <w:rPr>
          <w:rFonts w:ascii="微软雅黑" w:hAnsi="微软雅黑" w:eastAsia="微软雅黑"/>
          <w:b w:val="0"/>
          <w:i w:val="0"/>
          <w:sz w:val="21"/>
        </w:rPr>
        <w:t xml:space="preserve">（全场最低），之后震荡回升到第 48 个工况的 </w:t>
      </w:r>
      <w:r>
        <w:rPr>
          <w:rFonts w:ascii="微软雅黑" w:hAnsi="微软雅黑" w:eastAsia="微软雅黑"/>
          <w:b/>
          <w:i w:val="0"/>
          <w:sz w:val="21"/>
        </w:rPr>
        <w:t>1.059</w:t>
      </w:r>
      <w:r>
        <w:rPr>
          <w:rFonts w:ascii="微软雅黑" w:hAnsi="微软雅黑" w:eastAsia="微软雅黑"/>
          <w:b w:val="0"/>
          <w:i w:val="0"/>
          <w:sz w:val="21"/>
        </w:rPr>
        <w:t>。这不是训练失败，而是</w:t>
      </w:r>
      <w:r>
        <w:rPr>
          <w:rFonts w:ascii="微软雅黑" w:hAnsi="微软雅黑" w:eastAsia="微软雅黑"/>
          <w:b/>
          <w:i w:val="0"/>
          <w:sz w:val="21"/>
        </w:rPr>
        <w:t>多工况标签冲突</w:t>
      </w:r>
      <w:r>
        <w:rPr>
          <w:rFonts w:ascii="微软雅黑" w:hAnsi="微软雅黑" w:eastAsia="微软雅黑"/>
          <w:b w:val="0"/>
          <w:i w:val="0"/>
          <w:sz w:val="21"/>
        </w:rPr>
        <w:t>：不同工况在同一个 (e, ė) 格子上要求的最优增益不同，而每条规则只有一个后件值，纳入的工况越多、折中越大。这与主报告第 8 章的局限性一致，也是第 8 节列出的缺点之一。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误差回升的幅度是可控的</w:t>
      </w:r>
      <w:r>
        <w:rPr>
          <w:rFonts w:ascii="微软雅黑" w:hAnsi="微软雅黑" w:eastAsia="微软雅黑"/>
          <w:b w:val="0"/>
          <w:i w:val="0"/>
          <w:sz w:val="21"/>
        </w:rPr>
        <w:t>。从最低 0.725 回到 1.059，仍明显低于只用 1 个工况时的 1.411——</w:t>
      </w:r>
      <w:r>
        <w:rPr>
          <w:rFonts w:ascii="微软雅黑" w:hAnsi="微软雅黑" w:eastAsia="微软雅黑"/>
          <w:b/>
          <w:i w:val="0"/>
          <w:sz w:val="21"/>
        </w:rPr>
        <w:t>学到的仍是一个"广谱可用"的折中面，而不是对某一工况的过拟合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覆盖率几乎立刻打满，但这只是必要条件</w:t>
      </w:r>
      <w:r>
        <w:rPr>
          <w:rFonts w:ascii="微软雅黑" w:hAnsi="微软雅黑" w:eastAsia="微软雅黑"/>
          <w:b w:val="0"/>
          <w:i w:val="0"/>
          <w:sz w:val="21"/>
        </w:rPr>
        <w:t>。第 1 个工况就覆盖 24/25 = 96%，第 2 个工况起 25/25 = 100%，全程远高于 80% 的线。含义是本对象的典型轨迹会走遍 5×5 网格的绝大部分格子，规则表里没有"从没被用过的闲置规则"。</w:t>
      </w:r>
      <w:r>
        <w:rPr>
          <w:rFonts w:ascii="微软雅黑" w:hAnsi="微软雅黑" w:eastAsia="微软雅黑"/>
          <w:b/>
          <w:i w:val="0"/>
          <w:sz w:val="21"/>
        </w:rPr>
        <w:t>但"每个格子都被踩到过"不等于"每个格子都被踩够次数"</w:t>
      </w:r>
      <w:r>
        <w:rPr>
          <w:rFonts w:ascii="微软雅黑" w:hAnsi="微软雅黑" w:eastAsia="微软雅黑"/>
          <w:b w:val="0"/>
          <w:i w:val="0"/>
          <w:sz w:val="21"/>
        </w:rPr>
        <w:t xml:space="preserve">——结合（a）的误差回升看，覆盖率只是必要条件，所以第 3 节的上线检查还有第二条：平均目标不比 IMC 差。本批次两条都通过（末次记录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deployment_accepted=1</w:t>
      </w:r>
      <w:r>
        <w:rPr>
          <w:rFonts w:ascii="微软雅黑" w:hAnsi="微软雅黑" w:eastAsia="微软雅黑"/>
          <w:b w:val="0"/>
          <w:i w:val="0"/>
          <w:sz w:val="21"/>
        </w:rPr>
        <w:t>，验证集基线目标 32.70 → 学习后 31.92）。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在线部分不在这张图里</w:t>
      </w:r>
      <w:r>
        <w:rPr>
          <w:rFonts w:ascii="微软雅黑" w:hAnsi="微软雅黑" w:eastAsia="微软雅黑"/>
          <w:b w:val="0"/>
          <w:i w:val="0"/>
          <w:sz w:val="21"/>
        </w:rPr>
        <w:t>。训练结束后 25 条规则后件冻结成一张表，在线每 2 s 查表（78.2 µs/次），不再有任何学习。这条"离线学、在线查"的分界，正是第 3 节框图的上/下两条通道。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 整定时间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口径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数值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性质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能得到 FOPDT 时（本项目）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训练 PC 7.65 s【实测】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；等效对象时间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4181 h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（标签来源：48 场景 × 每场景一轮完整 BO 搜索）；在线推理 78.2 µs/次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确定值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得不到 FOPDT 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【估算】PC 约 8.2–8.6 s / 等效约 4600–4900 h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：FNN 训练本身不消费 FOPDT，但其标签链依赖 BO，BO 失去 FOPDT 初始化种子后每次搜索约多 10–15% 评估（见 04 号报告），等效对象时间同比增加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预测值，依据：BO 单评估成本实测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6 三个标准工况表现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工况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ITAE（°C·h²）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调节时间（h）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扰动恢复（h）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最大过冷（°C）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 初次快速降温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3.626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0.759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0.081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61.90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二 设定温度突变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6.936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1.214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0.091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36.41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 持续外界热扰动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15.286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1.335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0.146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70.96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工况一_FN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7-3 工况一：FNN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工况二_FN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7-4 工况二：FNN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5_工况三_FN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7-5 工况三：FNN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读图</w:t>
      </w:r>
      <w:r>
        <w:rPr>
          <w:rFonts w:ascii="微软雅黑" w:hAnsi="微软雅黑" w:eastAsia="微软雅黑"/>
          <w:b w:val="0"/>
          <w:i w:val="0"/>
          <w:sz w:val="21"/>
        </w:rPr>
        <w:t>：与 BO/IMC 几乎重合（ITAE 差 &lt;3%），工况一略优（3.63 vs BO 3.67）；80 场景 holdout 39.26、相对 IMC 比值 0.9979（95% 上界 1.0067）</w:t>
      </w:r>
      <w:r>
        <w:rPr>
          <w:rFonts w:ascii="微软雅黑" w:hAnsi="微软雅黑" w:eastAsia="微软雅黑"/>
          <w:b/>
          <w:i w:val="0"/>
          <w:sz w:val="21"/>
        </w:rPr>
        <w:t>通过上线检查</w:t>
      </w:r>
      <w:r>
        <w:rPr>
          <w:rFonts w:ascii="微软雅黑" w:hAnsi="微软雅黑" w:eastAsia="微软雅黑"/>
          <w:b w:val="0"/>
          <w:i w:val="0"/>
          <w:sz w:val="21"/>
        </w:rPr>
        <w:t>，规则覆盖率 100%。注意一个诚实记录：ESP32 七算法演示批次中该 FNN 候选没通过可见的上线检查、以只记录不执行的方式运行——v3 封存验收与演示是不同批次，结论互不覆盖。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7 混合工况（多种工况同时出现）表现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288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ed_fn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7-6 混合工况：FNN（v3 封存数据）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启停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17.78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3.30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0.75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1.04 °C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0.059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71.38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 次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表现回答</w:t>
      </w:r>
      <w:r>
        <w:rPr>
          <w:rFonts w:ascii="微软雅黑" w:hAnsi="微软雅黑" w:eastAsia="微软雅黑"/>
          <w:b w:val="0"/>
          <w:i w:val="0"/>
          <w:sz w:val="21"/>
        </w:rPr>
        <w:t>：多工况叠加时 FNN 比固定增益的 BO（81.38）明显好、与 IMC（71.95）持平：规则面能在大偏差阶段（初始降温、开门后）给出更积极的增益、接近设定值时收敛回保守区——调节时间 3.30 h 比 IMC 的 5.92 h 快 44%，这正是"自整定"在复合工况下的价值。但它没有超越安全 BO（58.71）：标签来自 BO 平均目标最优增益，规则面学到的是"平均最优策略"，对训练覆盖外的极端叠加没有风险裕度意识。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8 小结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优点：在线自整定、推理极快（78 µs，可上 MCU）、规则表可审计；holdout 通过上线检查；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缺点：训练链最重（4464 标签 ≈ 4181 等效对象小时）；性能上限受 BO 标签质量约束；多工况标签冲突使 log-RMSE 后期回升（见主报告第 8 章局限性）；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落地建议：适合"算力极受限、但需要工况自适应"的边缘场景；部署前务必过覆盖率+IMC 对照两条检查。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本附录列出的数据文件、代码位置与命令，均为</w:t>
      </w:r>
      <w:r>
        <w:rPr>
          <w:rFonts w:ascii="微软雅黑" w:hAnsi="微软雅黑" w:eastAsia="微软雅黑"/>
          <w:b/>
          <w:i w:val="0"/>
          <w:sz w:val="21"/>
        </w:rPr>
        <w:t>本项目代码仓库内的相对路径</w:t>
      </w:r>
      <w:r>
        <w:rPr>
          <w:rFonts w:ascii="微软雅黑" w:hAnsi="微软雅黑" w:eastAsia="微软雅黑"/>
          <w:b w:val="0"/>
          <w:i w:val="0"/>
          <w:sz w:val="21"/>
        </w:rPr>
        <w:t>，仅面向需要核对数据来源或复现结果的读者。仅阅读本报告的读者可直接跳过——理解正文全部结论所需的输入、参数与数值已在正文中给出，不依赖这些文件。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A 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outputs_review_v3/fnn_rule_table.npy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25 条零阶 TSK 规则后件（5×5）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1 节产物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outputs_review_v3/fnn_rule_table_candidate.npy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未过上线检查时的候选规则表（供审计）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3 节上线检查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outputs_review_v3/fnn_training_samples.csv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4464 个“(e, ė) → BO 最优增益”标签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1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outputs_review_v3/fnn_training_history.csv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训练收敛与规则覆盖率历史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5 节 、第 4 节图 7-2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outputs_review_v3/case_metrics.csv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v3 三标准工况 × 五算法指标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6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outputs_review_v3/case_timeseries.csv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三工况逐分钟时序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7-3～7-5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outputs_tuning_benchmark/tuning_stage_times.csv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整定耗时基准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5 节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本篇结论涉及的实现位置：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hvac_pid/ai_controllers.py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train_fnn_rule_table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离线造标签与规则面训练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hvac_pid/ai_controllers.py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FNNGainController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 2 s 查表、加权平均与增益限幅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复现说明</w:t>
      </w:r>
      <w:r>
        <w:rPr>
          <w:rFonts w:ascii="微软雅黑" w:hAnsi="微软雅黑" w:eastAsia="微软雅黑"/>
          <w:b w:val="0"/>
          <w:i w:val="0"/>
          <w:sz w:val="21"/>
        </w:rPr>
        <w:t>：标签由 48 个训练场景各跑一轮完整 BO 生成，链路上依赖 04 号报告的 BO；规则面训练本身为确定性最小二乘，可复现。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