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面向机柜空调的 PI 自动整定与增益调度：统一仿真评估及软件在环验证（提交版主报告）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范围声明（必读）：本报告主结论为 E2-B3 独立密封重评 + E1/E3–E5 工程验证。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B3（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sealed-80x7-b3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）：统一重训冻结 + 部署门仅用资格集 + 密封集选择全程未见 + LLM 在完整 48 训练集冻结。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B1（混合冻结）与 B2（部署门误用密封集）保留为历史对照，不再承担主结论。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各方法训练预算不同（台账见 §4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budget_table.csv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），只有 BO/随机臂可用“同预算”措辞。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教程式操作步骤、分算法曲线、历史批次说明分别见附件（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reports/分报告/00–12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为教学附件，非正文）。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每个数字可定位到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EXPERIMENTS.md 登记编号 + 文件 + 行/列 + code_sha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摘要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对象为小型机柜空调单区 3R2C 热对象（执行器含延迟/惯性/ slew/量化/最小运行约束，传感器含噪声与滤波）。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工作分为离线整定/训练、冻结策略、在线增益调度、安全 PI 四段边界；LLM 不进入快速控制环，仅做离线建议。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主实验 E2-B3 将 7 种冻结策略放在同一 80 场景独立密封清单（部署门在资格集已结束，密封场景选择全程未见）、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同一噪声种子、同一六子步 v4 积分器、同一指标下评价（560 条记录）。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主统计量为逐场景配对比均值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mean(J/J_imc)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95% CI；验收为四项全过；非劣界 1.02。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主要发现：数值有界 7/7 达 80/80，但温控验收最高仅 40/80（IMC/Safe-BO/FNN/LLM 并列），Z-N 6/80。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性能上无任何方法显著优于 IMC：BO 1.0785 [1.0424,1.1146] 显著更差（原因尚未完成归因，禁止径称过拟合），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Safe-BO 与 FNN 回落到等于 IMC（前者选中基线本身，后者资格集门未通过→回退），RL 0.9801 [0.9611,1.0041] 未发现显著优势（非劣成立）。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失败归因：7 个场景全算法失败（1 容量紧张 + 6 观察窗不足）；33 个调参残余失败全部卡在扰动恢复，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无任何方法系统性挽救 IMC 失败场景——下一步优先级是解释并改善合格率，而非继续排名。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严格对照（同初值同噪声，4 搜索种子）：GP 对同预算随机的混合池配对差 −0.0057 [−0.0373,+0.0284]（含 0），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机制贡献未经证实。E4 LLM 真实矩阵独立报告（v3 5/18 部署，v4 1/18 部署），不参与排名。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E5 软件一致性成立（PC-SIL PASS），实体三门仍待验证。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任务与评价目标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输入为区温误差（°C），输出为归一化制冷容量指令（0–1，容量比例）；Kp 单位为容量比例/°C，Ki 为容量比例/(°C·min)。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控制目标为综合目标 J 最小（IAE/ITAE/舒适越限/欠调/调节时间/动作量/输出方差/能耗加权，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hvac_pid/metrics.py:objective_from_metrics</w:t>
      </w:r>
      <w:r>
        <w:rPr>
          <w:rFonts w:ascii="微软雅黑" w:hAnsi="微软雅黑" w:eastAsia="微软雅黑"/>
          <w:b w:val="0"/>
          <w:i w:val="0"/>
          <w:sz w:val="21"/>
        </w:rPr>
        <w:t>），约束为安全信任域 ±10% 与执行器合规（slew/最小运行/启停）。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验收标准拆分为四项：bounded（数值有限且 5–45°C）、comfort_held（启动后持续 60 min 在 ±0.5°C 带）、recovery_ok（扰动/切温后 60 min 持续在带）、actuator_compliant；四项全过记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validation_passed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回退执行不记通过，回退后仍未通过记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fallback_failed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仅指数值有界，不得等同验收。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系统架构与对象模型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26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2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运行架构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运行架构（上图）：上位机离线整定/训练 → 冻结策略（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同目录版本锁定）→ 在线增益调度（FNN/RL 按状态查表/覆盖掩码回退 IMC；LLM 只在离线提建议）→ 安全 PI（含 ±10% 限幅与回退）→ 执行器（延迟/惯性/slew/量化/最小开停机）→ 3R2C 热对象 → 传感器（噪声/滤波）→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证据流程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证据流程（上图）：实验配置（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experiments/manifests/v4.yaml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唯一事实源）→ 数据划分（48 训练/16 验证/16 资格/80 密封，四向隔离 + SHA-256 泄漏检查）→ 训练/选择/资格门 → 冻结 → 独立密封评价（只打分）→ 统计（主/次分开）→ 报告（本主报告 + 附件）。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对象模型为 3R2C 单区，E1 已验证数值实现（六子步 N=6，初次降温 max 0.025154°C ≤0.15）与 FOPDT 代理精度（归一化 RMSE 11.88–11.95% ≤15%）。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时间口径：仿真监督 300 s、外层 60 s/内层 10 s×6 子步、演示 120 s、MCU 快环 100 ms + AI 环 2 s；LLM 离线秒级，不在快环时序内。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七类方法及统一接口（B3 冻结值；B1/B2 值见历史批次附件）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类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改什么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输入→输出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B3 冻结（Kp/Ki）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一次阶跃辨识 + 经验公式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FOPDT→固定增益（限幅后）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 / 0.08，对照基线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λ 一维扫描选公式参数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FOPDT+λ→固定增益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0.5180 / 0.004057，回退基准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GP+EI 在 log(Kp,Ki) 直接搜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0.6265 / 0.005896，14 评估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风险约束下保守选点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J+风险→固定增益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等于 IMC（选中基线本身）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规则表 + 上下文系数在线调度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状态→Δ增益（±10%）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资格门未通过→回退 IMC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覆盖掩码在线调度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状态→Δ增益，未覆盖回退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Q 表 + 冻结掩码，门通过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离线建议 + 程序验收 gate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工况描述→候选增益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训练集仍无接受候选，等于 IMC；真实调用见 E4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统一接口为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>（IMC/BO/SafeBO/FNN 表+上下文/RL 表+掩码同目录冻结，缺文件报错，legacy 回退显式标记）；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sealed/embedded/pipeline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均经此加载，禁止各入口自行拼装。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实验设计与复现协议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E1 数值/FOPDT：三典型工况（初次快速降温/设定突变/持续热扰动），阈值未动，物理改为子步进后通过。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E2-B3 独立密封：四向隔离（48 训练/16 验证/16 资格/80 密封，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dataset_manifest.csv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SHA-256 防泄漏）；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部署门只用资格集（FNN 未通过→回退 IMC，RL 通过），冻结后密封集只打分；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80 场景（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acceptance_seeds=101,211,307,401,503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，噪声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seed+700000+ordinal</w:t>
      </w:r>
      <w:r>
        <w:rPr>
          <w:rFonts w:ascii="微软雅黑" w:hAnsi="微软雅黑" w:eastAsia="微软雅黑"/>
          <w:b w:val="0"/>
          <w:i w:val="0"/>
          <w:sz w:val="21"/>
        </w:rPr>
        <w:t>，门噪声系独立）；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七算法同场景同种子同积分器同指标；测试后调参换新密封集。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训练预算台账（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sealed-80x7-b3/budget_table.csv</w:t>
      </w:r>
      <w:r>
        <w:rPr>
          <w:rFonts w:ascii="微软雅黑" w:hAnsi="微软雅黑" w:eastAsia="微软雅黑"/>
          <w:b w:val="0"/>
          <w:i w:val="0"/>
          <w:sz w:val="21"/>
        </w:rPr>
        <w:t>，每闭环 = 5 对象小时）：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方法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训练场景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候选评估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闭环仿真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等效对象小时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公式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1（标定）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 λ 扫描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1008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5040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BO（7 初值 + 7 GP）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192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960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标签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 / 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见备注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768 + 32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3840 + 160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离线步数 + 选择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环境步（另计）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496（选择）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2480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部署门（资格集）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3/场景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密封终评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 算法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560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2800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 消融：同 80 场景随机/保守对照（历史）；E3+ 严格对照：同初值同噪声，4 搜索种子，GP/随机各追加 7 评估，报告混合池配对差。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E4 LLM 矩阵：v3 矩阵 18 运行/18 真实/18 有界/5 部署；v4 矩阵 18 运行/1 部署/17 回退；报告采用率、回退后验收与成本，独立成表。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E5 对拍/SIL：75 组 Python/C++ 对拍 ~2.98e-8、CRC、PC-SIL 分频；历史 Modelica DASSL 12 h 为历史证据，当前未复现。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统计：主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mean(obj/imc)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+ bootstrap CI（2000，seed+77），非劣界 1.02（上界≤1.02），显著优要求上界&lt;1.0；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“CI 含 1”读作“未发现显著优势”，不得径称“持平/等效”。次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mean(obj)/mean(imc)</w:t>
      </w:r>
      <w:r>
        <w:rPr>
          <w:rFonts w:ascii="微软雅黑" w:hAnsi="微软雅黑" w:eastAsia="微软雅黑"/>
          <w:b w:val="0"/>
          <w:i w:val="0"/>
          <w:sz w:val="21"/>
        </w:rPr>
        <w:t xml:space="preserve"> 仅对照。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复现：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run.py pipeline --output &lt;run&gt; --seed 7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run.py sealed --artifact-dir &lt;run&gt; --output &lt;sealed&gt; --protocol-label E2-B3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一致性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tools/check_results_consistency.py --sealed-dir &lt;sealed&gt;</w:t>
      </w:r>
      <w:r>
        <w:rPr>
          <w:rFonts w:ascii="微软雅黑" w:hAnsi="微软雅黑" w:eastAsia="微软雅黑"/>
          <w:b w:val="0"/>
          <w:i w:val="0"/>
          <w:sz w:val="21"/>
        </w:rPr>
        <w:t xml:space="preserve">；归因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tools/run_gp_attribution.py</w:t>
      </w:r>
      <w:r>
        <w:rPr>
          <w:rFonts w:ascii="微软雅黑" w:hAnsi="微软雅黑" w:eastAsia="微软雅黑"/>
          <w:b w:val="0"/>
          <w:i w:val="0"/>
          <w:sz w:val="21"/>
        </w:rPr>
        <w:t xml:space="preserve">；失败分析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tools/analyze_failures.py --sealed &lt;sealed&gt;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结果与失败分析（E2-B3；B1/B2 见历史对照附件）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主结果（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sealed-80x7-b3/sealed_80_summary.csv:2-8</w:t>
      </w:r>
      <w:r>
        <w:rPr>
          <w:rFonts w:ascii="微软雅黑" w:hAnsi="微软雅黑" w:eastAsia="微软雅黑"/>
          <w:b w:val="0"/>
          <w:i w:val="0"/>
          <w:sz w:val="21"/>
        </w:rPr>
        <w:t>，性能与验收并列）：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平均 J↓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主配对比 [95% CI]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验收</w:t>
            </w:r>
          </w:p>
        </w:tc>
        <w:tc>
          <w:tcPr>
            <w:tcW w:type="dxa" w:w="1904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结论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61.72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1.6509 [1.5407,1.7630]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6/80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基准；有界全过但验收仅半数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45.02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1.0785 [1.0424,1.1146]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显著差于 IMC；原因尚未完成归因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Safe-BO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选中基线本身，无增益无损失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1.0000 等于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资格门未通过→回退 IMC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0.9801 [0.9611,1.0041]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未发现显著优势；非劣成立（上界 ≤1.02）</w:t>
            </w:r>
          </w:p>
        </w:tc>
      </w:tr>
      <w:tr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replay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41.24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持平 IMC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40/80</w:t>
            </w:r>
          </w:p>
        </w:tc>
        <w:tc>
          <w:tcPr>
            <w:tcW w:type="dxa" w:w="1904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 48 训练集仍无接受候选；非实时调用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同轴曲线（确定性复现，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sealed-80x7-b3/figures/</w:t>
      </w:r>
      <w:r>
        <w:rPr>
          <w:rFonts w:ascii="微软雅黑" w:hAnsi="微软雅黑" w:eastAsia="微软雅黑"/>
          <w:b w:val="0"/>
          <w:i w:val="0"/>
          <w:sz w:val="21"/>
        </w:rPr>
        <w:t>，时序与清单同目录；复现断言已通过）：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dian_coax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中位场景七算法同轴（ordinal=38，IMC J=35.12）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中位场景：七算法轨迹基本重合，IMC 与自适应方法无实质差异——与配对比结论一致。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4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ilure_coax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失败场景七算法同轴（ordinal=70，IMC J=111.08，振荡型恢复失败）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失败场景：无扰动热启动，负荷比仅 0.10、窗口充足，但全部算法出现大幅欠调（IMC 4.2°C）与压缩机反复启停振荡，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始终无法持续在带——典型的调参残余失败（RL 略好 106.6，BO 更差 133.0，方向与总量表一致）。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失败归因（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failure_cause_summary.csv</w:t>
      </w:r>
      <w:r>
        <w:rPr>
          <w:rFonts w:ascii="微软雅黑" w:hAnsi="微软雅黑" w:eastAsia="微软雅黑"/>
          <w:b w:val="0"/>
          <w:i w:val="0"/>
          <w:sz w:val="21"/>
        </w:rPr>
        <w:t>，322 个失败点）：7 个场景全算法失败——1 个容量紧张（负荷比&gt;0.85）+ 6 个观察窗不足（扰动结束距终点&lt;60 min），属物理/设计边界；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IMC 系 33 个调参残余失败全部含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recovery_ok</w:t>
      </w:r>
      <w:r>
        <w:rPr>
          <w:rFonts w:ascii="微软雅黑" w:hAnsi="微软雅黑" w:eastAsia="微软雅黑"/>
          <w:b w:val="0"/>
          <w:i w:val="0"/>
          <w:sz w:val="21"/>
        </w:rPr>
        <w:t xml:space="preserve"> 未过（29 个兼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comfort_held</w:t>
      </w:r>
      <w:r>
        <w:rPr>
          <w:rFonts w:ascii="微软雅黑" w:hAnsi="微软雅黑" w:eastAsia="微软雅黑"/>
          <w:b w:val="0"/>
          <w:i w:val="0"/>
          <w:sz w:val="21"/>
        </w:rPr>
        <w:t xml:space="preserve"> 未过），负荷比 ≤0.62 且窗口 ≥1 h，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即容量与窗口均无问题——真实短板在扰动恢复控制。无任何方法系统性挽救 IMC 失败场景：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RL 挽救 #36 但新增 #25/#37（净 +1），BO 新增 7 个失败、挽救 0，Safe-BO/FNN/LLM 与 IMC 失败集完全一致。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J 方向一致：失败均值 ~55 vs 通过均值 ~27（约 2×），综合目标与四门验收无系统性冲突——不存在“J 很好但验收不过”的目标设计问题。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E3+ 严格对照（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12 行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gp_attribution_summary.json</w:t>
      </w:r>
      <w:r>
        <w:rPr>
          <w:rFonts w:ascii="微软雅黑" w:hAnsi="微软雅黑" w:eastAsia="微软雅黑"/>
          <w:b w:val="0"/>
          <w:i w:val="0"/>
          <w:sz w:val="21"/>
        </w:rPr>
        <w:t>；同初值同噪声，4 搜索种子，经典种子 815 精确复现冻结 BO）：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混合池配对差 GP−随机 −0.0057 [−0.0373,+0.0284]（含 0），GP−初值 −0.1115 [−0.1419,−0.0791]（追加评估优于原地踏步）。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结论：</w:t>
      </w:r>
      <w:r>
        <w:rPr>
          <w:rFonts w:ascii="微软雅黑" w:hAnsi="微软雅黑" w:eastAsia="微软雅黑"/>
          <w:b/>
          <w:i w:val="0"/>
          <w:sz w:val="21"/>
        </w:rPr>
        <w:t>未发现 GP 相对同预算随机的优势，机制贡献未经证实</w:t>
      </w:r>
      <w:r>
        <w:rPr>
          <w:rFonts w:ascii="微软雅黑" w:hAnsi="微软雅黑" w:eastAsia="微软雅黑"/>
          <w:b w:val="0"/>
          <w:i w:val="0"/>
          <w:sz w:val="21"/>
        </w:rPr>
        <w:t>；逐种子波动大（9002 种子纯随机 0.9287 反超 GP 1.1048），单次比较不可作机制结论。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旧版“GP 机制有效”表述撤回。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历史对照一句话：B1（混合冻结）Safe-BO 保守参数曾显著优（0.9185）但归属为参数集；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B2 与 B3 同训练配置结论一致（BO 差、其余持平），B2 因部署门误用密封集降为历史，数字不再并列。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6 软件在环与部署边界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导出：冻结策略经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PolicyBundle</w:t>
      </w:r>
      <w:r>
        <w:rPr>
          <w:rFonts w:ascii="微软雅黑" w:hAnsi="微软雅黑" w:eastAsia="微软雅黑"/>
          <w:b w:val="0"/>
          <w:i w:val="0"/>
          <w:sz w:val="21"/>
        </w:rPr>
        <w:t xml:space="preserve"> 哈希锁定，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manifest.yaml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随 run 冻结，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sealed_scenarios.csv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存全字段场景清单（任意曲线可精确复现），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code_sha</w:t>
      </w:r>
      <w:r>
        <w:rPr>
          <w:rFonts w:ascii="微软雅黑" w:hAnsi="微软雅黑" w:eastAsia="微软雅黑"/>
          <w:b w:val="0"/>
          <w:i w:val="0"/>
          <w:sz w:val="21"/>
        </w:rPr>
        <w:t xml:space="preserve"> + 脏位如实记录；B3 另有裁剪前完整 147 文件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索引。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B3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policy_provenance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中 legacy 双零，RL 掩码为冻结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rl_covered_mask.npy</w:t>
      </w:r>
      <w:r>
        <w:rPr>
          <w:rFonts w:ascii="微软雅黑" w:hAnsi="微软雅黑" w:eastAsia="微软雅黑"/>
          <w:b w:val="0"/>
          <w:i w:val="0"/>
          <w:sz w:val="21"/>
        </w:rPr>
        <w:t>，部署门在资格集判定（FNN 回退、RL 通过）。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对拍：Python/C++ 差 ~3e-8 量级；CRC 校验；PC-SIL 按 100 ms/2 s 分频跑通（B3 run 内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mcu_pc_sil_log.txt:PASS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主机 WCET 参考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host_wcet.csv</w:t>
      </w:r>
      <w:r>
        <w:rPr>
          <w:rFonts w:ascii="微软雅黑" w:hAnsi="微软雅黑" w:eastAsia="微软雅黑"/>
          <w:b w:val="0"/>
          <w:i w:val="0"/>
          <w:sz w:val="21"/>
        </w:rPr>
        <w:t>（HOST-ONLY）；ESP32 目标编译在本机刷新失败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（xtensa 工具链无法处理用户路径中文字符，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esp32_target_compile_attempt.log</w:t>
      </w:r>
      <w:r>
        <w:rPr>
          <w:rFonts w:ascii="微软雅黑" w:hAnsi="微软雅黑" w:eastAsia="微软雅黑"/>
          <w:b w:val="0"/>
          <w:i w:val="0"/>
          <w:sz w:val="21"/>
        </w:rPr>
        <w:t xml:space="preserve"> 存证，历史 RAM/Flash 记录维持，门仍为 PENDING）。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边界：以上证明软件一致性，不证明与真实机柜对象对应，更不代替实体 10 分钟遥测、真实 WCET、HIL、Modbus 写入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（三门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当前 3/3 PENDING，不得仿真冒充）。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LLM 边界：E2 replay 非实时调用；E4 真实矩阵链路通≠模型好用，回退率与成本单独报告。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7 结论与局限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分条件结论（E2-B3）：无任何方法显著优于 IMC；BO 显著差（归因未完成）；Safe-BO/FNN 等于 IMC；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RL 未发现显著优势但非劣成立；Z-N 显著差。验收最高仅 40/80——主要矛盾是扰动恢复控制与合格率，不是排名。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局限：单一种子单预算（多种子重复缺）；BO 预算仅 14 评估；实体/HIL/目标 WCET 全缺（3/3 PENDING）；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GP 机制贡献未经证实；PDF 未生成（DOCX 为准，人工逐页清单见附件交付检查）。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下一步：多种子重复与更大预算 BO；E4 真实调用矩阵失败原因与成本明细；实测辨识→遥测→HIL 逐层验收，每层追溯到同一策略版本。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历史批次（B1/B2）冻结保留，不再覆盖；新批次一律换 run_id。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附件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复现指南：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EXPERIMENTS.md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run.py --help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B3 全链（约 200 s + 评价约 8 min）：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python run.py pipeline --output artifacts/runs/&lt;run_id&gt; --seed 7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python run.py sealed --artifact-dir &lt;run_id&gt; --output &lt;sealed&gt; --protocol-label E2-B3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python tools/run_gp_attribution.py / make_budget_table.py / analyze_failures.py / make_sealed_figures.py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（参数见各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--help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证据附件：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artifacts/runs/sealed-80x7-b3/</w:t>
      </w:r>
      <w:r>
        <w:rPr>
          <w:rFonts w:ascii="微软雅黑" w:hAnsi="微软雅黑" w:eastAsia="微软雅黑"/>
          <w:b w:val="0"/>
          <w:i w:val="0"/>
          <w:sz w:val="21"/>
        </w:rPr>
        <w:t>（B3 主：汇总/归因/预算/失败/曲线/溯源）+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artifacts/runs/v4-20260906-bf6bda6/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（B3 训练冻结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SHA256SUMS</w:t>
      </w:r>
      <w:r>
        <w:rPr>
          <w:rFonts w:ascii="微软雅黑" w:hAnsi="微软雅黑" w:eastAsia="微软雅黑"/>
          <w:b w:val="0"/>
          <w:i w:val="0"/>
          <w:sz w:val="21"/>
        </w:rPr>
        <w:t xml:space="preserve"> 完整索引）+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sealed-80x7-v4-retrain/</w:t>
      </w:r>
      <w:r>
        <w:rPr>
          <w:rFonts w:ascii="微软雅黑" w:hAnsi="微软雅黑" w:eastAsia="微软雅黑"/>
          <w:b w:val="0"/>
          <w:i w:val="0"/>
          <w:sz w:val="21"/>
        </w:rPr>
        <w:t>（B2，旧归因作废）+</w:t>
      </w:r>
    </w:p>
    <w:p>
      <w:pPr>
        <w:spacing w:after="80"/>
      </w:pPr>
      <w:r>
        <w:rPr>
          <w:rFonts w:ascii="Consolas" w:hAnsi="Consolas" w:eastAsia="微软雅黑"/>
          <w:b w:val="0"/>
          <w:i w:val="0"/>
          <w:color w:val="A31515"/>
          <w:sz w:val="19"/>
        </w:rPr>
        <w:t>artifacts/runs/v4-20260906-2870262/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（E1）+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archive/outputs_review_v3/</w:t>
      </w:r>
      <w:r>
        <w:rPr>
          <w:rFonts w:ascii="微软雅黑" w:hAnsi="微软雅黑" w:eastAsia="微软雅黑"/>
          <w:b w:val="0"/>
          <w:i w:val="0"/>
          <w:sz w:val="21"/>
        </w:rPr>
        <w:t xml:space="preserve">（B1 冻结策略）+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archive/outputs_llm_matrix_v3/</w:t>
      </w:r>
      <w:r>
        <w:rPr>
          <w:rFonts w:ascii="微软雅黑" w:hAnsi="微软雅黑" w:eastAsia="微软雅黑"/>
          <w:b w:val="0"/>
          <w:i w:val="0"/>
          <w:sz w:val="21"/>
        </w:rPr>
        <w:t>（E4）。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硬件门：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embedded/hardware_gates.md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python tools/check_hardware_gates.py --run &lt;run&gt;</w:t>
      </w:r>
      <w:r>
        <w:rPr>
          <w:rFonts w:ascii="微软雅黑" w:hAnsi="微软雅黑" w:eastAsia="微软雅黑"/>
          <w:b w:val="0"/>
          <w:i w:val="0"/>
          <w:sz w:val="21"/>
        </w:rPr>
        <w:t>（3/3 PENDING 为当前诚实状态）。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教学附件：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reports/分报告/00–12</w:t>
      </w:r>
      <w:r>
        <w:rPr>
          <w:rFonts w:ascii="微软雅黑" w:hAnsi="微软雅黑" w:eastAsia="微软雅黑"/>
          <w:b w:val="0"/>
          <w:i w:val="0"/>
          <w:sz w:val="21"/>
        </w:rPr>
        <w:t>（B3 视角下第 03 篇划分描述与第 11 篇 B1 表格为历史版本，结论以本主报告 Ch5 为准）；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旧总报告/DOCX/PPT 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reports/legacy/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，唯一主报告为本文件（DOCX 见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docs/主报告.docx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，机器核对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tools/check_docx.py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+ 下述人工清单）。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交付检查（人工逐页，机器无法替代）：① DOCX 逐页翻阅——分页无表格断裂、无图注分离；② 四张图可读（坐标轴/图例/在带底纹）；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③ Ch3/Ch5 表格数字与 CSV 逐项对过（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check_docx.py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已做机器部分）；④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node tests/check_interactive_html.mjs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 CI 烟雾 HTML 上实跑通过；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⑤ 公式以 katex 烟雾 + 详细文档构建为准（本主报告无行内公式 debt）。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实验登记：正文/图表/CSV 统一用 E1–E5（B1/B2/B3 后缀区分轮次）；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RESULTS.md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 E2 主结果表可定位版本。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