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i w:val="0"/>
          <w:color w:val="1F4E79"/>
          <w:sz w:val="40"/>
        </w:rPr>
        <w:t>00 总览与阅读指引</w:t>
      </w:r>
    </w:p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项目</w:t>
      </w:r>
      <w:r>
        <w:rPr>
          <w:rFonts w:ascii="微软雅黑" w:hAnsi="微软雅黑" w:eastAsia="微软雅黑"/>
          <w:b w:val="0"/>
          <w:i w:val="0"/>
          <w:sz w:val="21"/>
        </w:rPr>
        <w:t>：变频精密/机柜空调 AI-PI 自动整定演示（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hvac-ai-pid-demo</w:t>
      </w:r>
      <w:r>
        <w:rPr>
          <w:rFonts w:ascii="微软雅黑" w:hAnsi="微软雅黑" w:eastAsia="微软雅黑"/>
          <w:b w:val="0"/>
          <w:i w:val="0"/>
          <w:sz w:val="21"/>
        </w:rPr>
        <w:t>）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拆分报告版本</w:t>
      </w:r>
      <w:r>
        <w:rPr>
          <w:rFonts w:ascii="微软雅黑" w:hAnsi="微软雅黑" w:eastAsia="微软雅黑"/>
          <w:b w:val="0"/>
          <w:i w:val="0"/>
          <w:sz w:val="21"/>
        </w:rPr>
        <w:t>：2026-09-03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数据口径</w:t>
      </w:r>
      <w:r>
        <w:rPr>
          <w:rFonts w:ascii="微软雅黑" w:hAnsi="微软雅黑" w:eastAsia="微软雅黑"/>
          <w:b w:val="0"/>
          <w:i w:val="0"/>
          <w:sz w:val="21"/>
        </w:rPr>
        <w:t>：v3 封存验收批次（3R2C 对象、80 场景 holdout）+ 整定耗时基准 + 高级整定批次（含真实大模型调用）+ 七算法统一演示；9 篇分报告同源，完整溯源见附录 B。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1 拆分报告清单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编号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文件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本文件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阅读指引、公共约定、速查表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《被控对象建模与 FOPDT 辨识》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3R2C 对象建模、FOPDT 公式与含义、最小二乘拟合详解、拟合效果图、参数由来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02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《Z-N 反应曲线法》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经典反应曲线公式法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03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《IMC-λ 内模控制》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内模控制（λ 扫描整定）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04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《贝叶斯 BO 自动整定》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高斯过程 + 期望改进离线搜索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《风险感知安全 BO》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风险感知安全贝叶斯优化（RaGoOSE 式）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06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《LLM Agent 工具调用整定》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大模型工具调用整定（真实 qwen-max 调用）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07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《FNN 在线自整定》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5×5 TSK 模糊神经规则面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08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《RL 在线自整定》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离线表格式 Q 学习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建议阅读顺序：01 → 02/03（经典基线，依赖 FOPDT）→ 04/05/06（离线自动整定）→ 07/08（在线自整定）。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各分报告末尾均自带「附录 A 本篇数据溯源」，列出该篇结论所依赖的数据产物与代码位置；全套数据的总索引见本篇附录 B。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2 公共约定（各分报告不再重复）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同一被控对象</w:t>
      </w:r>
      <w:r>
        <w:rPr>
          <w:rFonts w:ascii="微软雅黑" w:hAnsi="微软雅黑" w:eastAsia="微软雅黑"/>
          <w:b w:val="0"/>
          <w:i w:val="0"/>
          <w:sz w:val="21"/>
        </w:rPr>
        <w:t>：3R2C 集中参数热模型 + 纯延迟 + 一阶执行器滞后（详见报告 01）。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同一控制架构</w:t>
      </w:r>
      <w:r>
        <w:rPr>
          <w:rFonts w:ascii="微软雅黑" w:hAnsi="微软雅黑" w:eastAsia="微软雅黑"/>
          <w:b w:val="0"/>
          <w:i w:val="0"/>
          <w:sz w:val="21"/>
        </w:rPr>
        <w:t>：100 ms PI 内环（条件积分抗饱和）+ 三口径AI调度层（Python仿真300 s / 演示120 s / MCU墙钟2 s，详见 hvac_pid/timebase.py）；AI 只调 Kp/Ki，不直接控制压缩机；四层安全保护（节拍解耦、增益界、单次变化 ≤10%、异常回退 IMC）。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48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系统结构框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8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0-1 系统结构框图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同一执行器约束</w:t>
      </w:r>
      <w:r>
        <w:rPr>
          <w:rFonts w:ascii="微软雅黑" w:hAnsi="微软雅黑" w:eastAsia="微软雅黑"/>
          <w:b w:val="0"/>
          <w:i w:val="0"/>
          <w:sz w:val="21"/>
        </w:rPr>
        <w:t>：最小制冷容量 25%、量化 1%、变频斜率 5 个百分点/min、最短运行 5 min / 停机 3 min、测量噪声 σ=0.04 °C + 滤波——所有算法在完全相同约束下运行。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同一评价指标</w:t>
      </w:r>
      <w:r>
        <w:rPr>
          <w:rFonts w:ascii="微软雅黑" w:hAnsi="微软雅黑" w:eastAsia="微软雅黑"/>
          <w:b w:val="0"/>
          <w:i w:val="0"/>
          <w:sz w:val="21"/>
        </w:rPr>
        <w:t>：综合目标 J（IAE/ITAE/舒适区/过冷/调节时间/控制变化/能耗加权，越小越好；不稳定罚 1e6）。完整公式、八项权重与实测分解见 §3。。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双口径耗时</w:t>
      </w:r>
      <w:r>
        <w:rPr>
          <w:rFonts w:ascii="微软雅黑" w:hAnsi="微软雅黑" w:eastAsia="微软雅黑"/>
          <w:b w:val="0"/>
          <w:i w:val="0"/>
          <w:sz w:val="21"/>
        </w:rPr>
        <w:t>：PC 墙钟时间（实测）与等效对象时间（"若把同样试验串行搬到真实设备上需要多久"，估算口径）。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诚信标注</w:t>
      </w:r>
      <w:r>
        <w:rPr>
          <w:rFonts w:ascii="微软雅黑" w:hAnsi="微软雅黑" w:eastAsia="微软雅黑"/>
          <w:b w:val="0"/>
          <w:i w:val="0"/>
          <w:sz w:val="21"/>
        </w:rPr>
        <w:t>：结论限于仿真与 SIL 层；安全 BO / LLM 的三标准工况与混合工况曲线为</w:t>
      </w:r>
      <w:r>
        <w:rPr>
          <w:rFonts w:ascii="微软雅黑" w:hAnsi="微软雅黑" w:eastAsia="微软雅黑"/>
          <w:b/>
          <w:i w:val="0"/>
          <w:sz w:val="21"/>
        </w:rPr>
        <w:t>冻结增益补跑</w:t>
      </w:r>
      <w:r>
        <w:rPr>
          <w:rFonts w:ascii="微软雅黑" w:hAnsi="微软雅黑" w:eastAsia="微软雅黑"/>
          <w:b w:val="0"/>
          <w:i w:val="0"/>
          <w:sz w:val="21"/>
        </w:rPr>
        <w:t>（标注"补跑"，与 v3 同对象、同约束、同种子）；LLM 矩阵 v3（outputs_llm_matrix_v3）18 次真实调用、5/18 部署；v4 复现矩阵（artifacts/runs/v4-20260906-8ac9bf4/llm_matrix_v4）18 次真实调用、1/18 部署，另 3/18 fallback 自身不稳定；06 走读已换 v4 会话（qwen-max_std_r72）；输出非确定性需报告多次运行分布与回退率。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3 综合目标 J：怎么算、为什么"小就是好"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 xml:space="preserve">整套报告里所有 30 多个 J 数值（34.00、37.61、58.71 …）都来自同一份实现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hvac_pid/metrics.py</w:t>
      </w:r>
      <w:r>
        <w:rPr>
          <w:rFonts w:ascii="微软雅黑" w:hAnsi="微软雅黑" w:eastAsia="微软雅黑"/>
          <w:b w:val="0"/>
          <w:i w:val="0"/>
          <w:sz w:val="21"/>
        </w:rPr>
        <w:t xml:space="preserve"> 的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objective_from_metrics</w:t>
      </w:r>
      <w:r>
        <w:rPr>
          <w:rFonts w:ascii="微软雅黑" w:hAnsi="微软雅黑" w:eastAsia="微软雅黑"/>
          <w:b w:val="0"/>
          <w:i w:val="0"/>
          <w:sz w:val="21"/>
        </w:rPr>
        <w:t>。它把"这组增益好不好"压成一个标量——八项代价加权求和，每一项都是"越大越差"，所以</w:t>
      </w:r>
      <w:r>
        <w:rPr>
          <w:rFonts w:ascii="微软雅黑" w:hAnsi="微软雅黑" w:eastAsia="微软雅黑"/>
          <w:b/>
          <w:i w:val="0"/>
          <w:sz w:val="21"/>
        </w:rPr>
        <w:t>J 越小越好</w:t>
      </w:r>
      <w:r>
        <w:rPr>
          <w:rFonts w:ascii="微软雅黑" w:hAnsi="微软雅黑" w:eastAsia="微软雅黑"/>
          <w:b w:val="0"/>
          <w:i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062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bjective_breakdow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62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8"/>
        </w:rPr>
        <w:t>图 0-2 综合目标 J 怎么算：权重构成与三组增益实测对比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八项构成与权重</w:t>
      </w:r>
      <w:r>
        <w:rPr>
          <w:rFonts w:ascii="微软雅黑" w:hAnsi="微软雅黑" w:eastAsia="微软雅黑"/>
          <w:b w:val="0"/>
          <w:i w:val="0"/>
          <w:sz w:val="21"/>
        </w:rPr>
        <w:t>（每行 = 子项名称、加权系数、越大越差时的物理解释）：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子项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权重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物理解释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舒适区违规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10.0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超出 ±0.5 °C 的累计时长（°C·h）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最大过冷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低于设定值的最大幅度（°C）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累计误差 IAE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Σ‖误差‖ × 时长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时间加权误差 ITAE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越晚还在偏，罚得越重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输出方差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0.7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抑制压缩机大幅波动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调节时间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0.35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首次进入 ±0.5 °C 并连续保持 60 min 的时刻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控制动作总量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0.08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抑制频繁调节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制冷能耗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0.015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单位 kWh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前置罚</w:t>
      </w:r>
      <w:r>
        <w:rPr>
          <w:rFonts w:ascii="微软雅黑" w:hAnsi="微软雅黑" w:eastAsia="微软雅黑"/>
          <w:b w:val="0"/>
          <w:i w:val="0"/>
          <w:sz w:val="21"/>
        </w:rPr>
        <w:t xml:space="preserve">：温度发散或跑出 5–45 °C，直接判 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stable=0</w:t>
      </w:r>
      <w:r>
        <w:rPr>
          <w:rFonts w:ascii="微软雅黑" w:hAnsi="微软雅黑" w:eastAsia="微软雅黑"/>
          <w:b w:val="0"/>
          <w:i w:val="0"/>
          <w:sz w:val="21"/>
        </w:rPr>
        <w:t>，</w:t>
      </w:r>
      <w:r>
        <w:rPr>
          <w:rFonts w:ascii="微软雅黑" w:hAnsi="微软雅黑" w:eastAsia="微软雅黑"/>
          <w:b/>
          <w:i w:val="0"/>
          <w:sz w:val="21"/>
        </w:rPr>
        <w:t>J = 1×10⁶</w:t>
      </w:r>
      <w:r>
        <w:rPr>
          <w:rFonts w:ascii="微软雅黑" w:hAnsi="微软雅黑" w:eastAsia="微软雅黑"/>
          <w:b w:val="0"/>
          <w:i w:val="0"/>
          <w:sz w:val="21"/>
        </w:rPr>
        <w:t>——比正常值大 3400 倍以上，确保任何不稳定方案永远垫底。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J 的绝对值没有物理意义，只有相对比较有效</w:t>
      </w:r>
      <w:r>
        <w:rPr>
          <w:rFonts w:ascii="微软雅黑" w:hAnsi="微软雅黑" w:eastAsia="微软雅黑"/>
          <w:b w:val="0"/>
          <w:i w:val="0"/>
          <w:sz w:val="21"/>
        </w:rPr>
        <w:t>。所以报告里所有 J 的比较都必须保证口径一致（如 80 场景 holdout 的 37.61 与 16 场景验证集的 31.95 不可混比）。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为什么这样加权就是"好"——看一组实测分解</w:t>
      </w:r>
      <w:r>
        <w:rPr>
          <w:rFonts w:ascii="微软雅黑" w:hAnsi="微软雅黑" w:eastAsia="微软雅黑"/>
          <w:b w:val="0"/>
          <w:i w:val="0"/>
          <w:sz w:val="21"/>
        </w:rPr>
        <w:t>（标称工况下三组增益的 J 来源）：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子项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保守 IMC 回退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安全 BO 部署</w:t>
            </w:r>
          </w:p>
        </w:tc>
        <w:tc>
          <w:tcPr>
            <w:tcW w:type="dxa" w:w="237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普通 BO 部署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舒适区违规 × 10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175.3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17.0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17.5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IAE × 2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40.1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5.9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5.6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ITAE × 1.5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72.9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3.7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3.2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最大过冷 × 3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1.5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其他 4 项合计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1.9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1.1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J 合计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290.1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27.6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28.9</w:t>
            </w:r>
          </w:p>
        </w:tc>
      </w:tr>
      <w:tr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四工况平均 J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320.7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37.0</w:t>
            </w:r>
          </w:p>
        </w:tc>
        <w:tc>
          <w:tcPr>
            <w:tcW w:type="dxa" w:w="237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49.9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三条权重取向能直接从这张表读出来：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sz w:val="21"/>
        </w:rPr>
        <w:t>舒适度优先于能耗，且差距是量级性的。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舒适区违规权重 10.0 是能耗（0.015）的 </w:t>
      </w:r>
      <w:r>
        <w:rPr>
          <w:rFonts w:ascii="微软雅黑" w:hAnsi="微软雅黑" w:eastAsia="微软雅黑"/>
          <w:b/>
          <w:i w:val="0"/>
          <w:sz w:val="21"/>
        </w:rPr>
        <w:t>667 倍</w:t>
      </w:r>
      <w:r>
        <w:rPr>
          <w:rFonts w:ascii="微软雅黑" w:hAnsi="微软雅黑" w:eastAsia="微软雅黑"/>
          <w:b w:val="0"/>
          <w:i w:val="0"/>
          <w:sz w:val="21"/>
        </w:rPr>
        <w:t>。保守 IMC 那组能耗最低（8.67 kWh vs 14.4 kWh）、零启停，但 J 是 290，因为</w:t>
      </w:r>
      <w:r>
        <w:rPr>
          <w:rFonts w:ascii="微软雅黑" w:hAnsi="微软雅黑" w:eastAsia="微软雅黑"/>
          <w:b/>
          <w:i w:val="0"/>
          <w:sz w:val="21"/>
        </w:rPr>
        <w:t>温度根本没控住</w:t>
      </w:r>
      <w:r>
        <w:rPr>
          <w:rFonts w:ascii="微软雅黑" w:hAnsi="微软雅黑" w:eastAsia="微软雅黑"/>
          <w:b w:val="0"/>
          <w:i w:val="0"/>
          <w:sz w:val="21"/>
        </w:rPr>
        <w:t>（RMSE 4.0 °C、累计 17.5 °C·h 时间在舒适带外）。"为省电牺牲控温"这条路在这套评价里走不通。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sz w:val="21"/>
        </w:rPr>
        <w:t>后期残留误差比早期偏差更不可接受。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ITAE 把误差乘上时刻，所以启动慢一点可容忍，半小时后还稳不下来不行——保守 IMC 的 ITAE 贡献占了它 J 的四分之一。</w:t>
      </w:r>
    </w:p>
    <w:p>
      <w:pPr>
        <w:spacing w:after="40"/>
        <w:ind w:left="425"/>
      </w:pPr>
      <w:r>
        <w:rPr>
          <w:rFonts w:ascii="微软雅黑" w:hAnsi="微软雅黑" w:eastAsia="微软雅黑"/>
          <w:b/>
          <w:i w:val="0"/>
          <w:color w:val="1F4E79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sz w:val="21"/>
        </w:rPr>
        <w:t>多工况适应性是关键指标，单工况看不出。</w:t>
      </w:r>
      <w:r>
        <w:rPr>
          <w:rFonts w:ascii="微软雅黑" w:hAnsi="微软雅黑" w:eastAsia="微软雅黑"/>
          <w:b w:val="0"/>
          <w:i w:val="0"/>
          <w:sz w:val="21"/>
        </w:rPr>
        <w:t xml:space="preserve"> 标称工况下安全 BO 和普通 BO 只差 4.6%（27.6 vs 28.9），但放到四工况平均，</w:t>
      </w:r>
      <w:r>
        <w:rPr>
          <w:rFonts w:ascii="微软雅黑" w:hAnsi="微软雅黑" w:eastAsia="微软雅黑"/>
          <w:b/>
          <w:i w:val="0"/>
          <w:sz w:val="21"/>
        </w:rPr>
        <w:t>安全 BO 比普通 BO 好 26%</w:t>
      </w:r>
      <w:r>
        <w:rPr>
          <w:rFonts w:ascii="微软雅黑" w:hAnsi="微软雅黑" w:eastAsia="微软雅黑"/>
          <w:b w:val="0"/>
          <w:i w:val="0"/>
          <w:sz w:val="21"/>
        </w:rPr>
        <w:t>（37.0 vs 49.9），差距主要来自"持续外界热扰动"工况（40.3 vs 72.3）。安全 BO 的优势是</w:t>
      </w:r>
      <w:r>
        <w:rPr>
          <w:rFonts w:ascii="微软雅黑" w:hAnsi="微软雅黑" w:eastAsia="微软雅黑"/>
          <w:b/>
          <w:i w:val="0"/>
          <w:sz w:val="21"/>
        </w:rPr>
        <w:t>零过冷、零启停</w:t>
      </w:r>
      <w:r>
        <w:rPr>
          <w:rFonts w:ascii="微软雅黑" w:hAnsi="微软雅黑" w:eastAsia="微软雅黑"/>
          <w:b w:val="0"/>
          <w:i w:val="0"/>
          <w:sz w:val="21"/>
        </w:rPr>
        <w:t>——单工况代价小，跨工况累积就拉开了。这也是风险目标 J_risk = J̄ + 0.75σ 想在单次评估里捕捉的东西。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还有一批量不进 J，但会否决方案</w:t>
      </w:r>
      <w:r>
        <w:rPr>
          <w:rFonts w:ascii="微软雅黑" w:hAnsi="微软雅黑" w:eastAsia="微软雅黑"/>
          <w:b w:val="0"/>
          <w:i w:val="0"/>
          <w:sz w:val="21"/>
        </w:rPr>
        <w:t>：最大斜率、斜率违规次数、低于最小容量的时间占比、启停次数、扰动恢复时间——这些是</w:t>
      </w:r>
      <w:r>
        <w:rPr>
          <w:rFonts w:ascii="微软雅黑" w:hAnsi="微软雅黑" w:eastAsia="微软雅黑"/>
          <w:b/>
          <w:i w:val="0"/>
          <w:sz w:val="21"/>
        </w:rPr>
        <w:t>约束</w:t>
      </w:r>
      <w:r>
        <w:rPr>
          <w:rFonts w:ascii="微软雅黑" w:hAnsi="微软雅黑" w:eastAsia="微软雅黑"/>
          <w:b w:val="0"/>
          <w:i w:val="0"/>
          <w:sz w:val="21"/>
        </w:rPr>
        <w:t>而非优化目标，通过安全裕度 q 起作用（</w:t>
      </w:r>
      <w:r>
        <w:rPr>
          <w:rFonts w:ascii="Consolas" w:hAnsi="Consolas" w:eastAsia="微软雅黑"/>
          <w:b w:val="0"/>
          <w:i w:val="0"/>
          <w:color w:val="A31515"/>
          <w:sz w:val="19"/>
        </w:rPr>
        <w:t>q ≤ 0</w:t>
      </w:r>
      <w:r>
        <w:rPr>
          <w:rFonts w:ascii="微软雅黑" w:hAnsi="微软雅黑" w:eastAsia="微软雅黑"/>
          <w:b w:val="0"/>
          <w:i w:val="0"/>
          <w:sz w:val="21"/>
        </w:rPr>
        <w:t xml:space="preserve"> 才允许部署）。一旦加权进目标，就可以靠"其他项足够好"来补偿违规，那就失去了硬约束的意义。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4 七算法速查表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算法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自整定?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自动整定?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输入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输出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PC 整定耗时</w:t>
            </w:r>
          </w:p>
        </w:tc>
        <w:tc>
          <w:tcPr>
            <w:tcW w:type="dxa" w:w="1190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80 场景 holdout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反应曲线法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经典公式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否（人工公式）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的 K/τ/L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Kp/Ti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0.163 s / 等效 168 h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58.19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IMC-λ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是（λ 扫描）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FOPDT + λ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Kp/Ti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3.03 s / 等效 1008 h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39.53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贝叶斯 BO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是（GP+EI）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 + 目标 J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1.42 s / 等效 528 h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39.72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风险感知安全 BO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是（风险 GP）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同上 + 风险项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 Kp/Ki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1.41 s（7 次评估）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33.58*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离线自动整定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是（工具调用）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历史 + 指标工具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Kp/Ki 修正决策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真实调用 30.4 s（监督式）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见 06 号报告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自整定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训练阶段自动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e, ė（模糊化）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 Kp/Ki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7.65 s / 等效 4181 h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39.26（PASSED）</w:t>
            </w:r>
          </w:p>
        </w:tc>
      </w:tr>
      <w:tr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自整定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在线自整定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是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训练阶段自动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热状态 + 容量模式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相对 IMC 的增益目标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训练 16.22 s / 等效 4018 h</w:t>
            </w:r>
          </w:p>
        </w:tc>
        <w:tc>
          <w:tcPr>
            <w:tcW w:type="dxa" w:w="1190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37.61（最优）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\* 安全 BO 的 33.58 为高级整定基准（独立留出集）上的风险目标，与 80 场景口径不同，不可直接混比。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5 术语约定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自整定（self-tuning）</w:t>
      </w:r>
      <w:r>
        <w:rPr>
          <w:rFonts w:ascii="微软雅黑" w:hAnsi="微软雅黑" w:eastAsia="微软雅黑"/>
          <w:b w:val="0"/>
          <w:i w:val="0"/>
          <w:sz w:val="21"/>
        </w:rPr>
        <w:t>：投运后控制器运行中在线修正自身参数（本项目：FNN / RL，Python仿真300 s / 演示120 s / MCU墙钟2 s三口径分离）。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自动整定（auto-tuning）</w:t>
      </w:r>
      <w:r>
        <w:rPr>
          <w:rFonts w:ascii="微软雅黑" w:hAnsi="微软雅黑" w:eastAsia="微软雅黑"/>
          <w:b w:val="0"/>
          <w:i w:val="0"/>
          <w:sz w:val="21"/>
        </w:rPr>
        <w:t>：投运前由算法在仿真/安全约束下离线完成一次参数搜索（IMC-λ / BO / 安全 BO / LLM）。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非自整定</w:t>
      </w:r>
      <w:r>
        <w:rPr>
          <w:rFonts w:ascii="微软雅黑" w:hAnsi="微软雅黑" w:eastAsia="微软雅黑"/>
          <w:b w:val="0"/>
          <w:i w:val="0"/>
          <w:sz w:val="21"/>
        </w:rPr>
        <w:t>：人工经验公式一次算出并冻结（Z-N）。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混合工况（多工况同现测试）</w:t>
      </w:r>
      <w:r>
        <w:rPr>
          <w:rFonts w:ascii="微软雅黑" w:hAnsi="微软雅黑" w:eastAsia="微软雅黑"/>
          <w:b w:val="0"/>
          <w:i w:val="0"/>
          <w:sz w:val="21"/>
        </w:rPr>
        <w:t>：12 h 复合测试——初始 28.5 °C 降温、2 h 设定值 24.5→23.8 °C 阶跃、1.5–9.5 h 人员负荷 +1100 W、5 h 开门 12 min +2600 W、外温 34±4 °C 正弦；用于回答"一次测试中多种工况同时出现时算法表现如何"。</w:t>
      </w:r>
    </w:p>
    <w:p>
      <w:pPr>
        <w:spacing w:after="40"/>
        <w:ind w:left="425"/>
      </w:pPr>
      <w:r>
        <w:rPr>
          <w:rFonts w:ascii="微软雅黑" w:hAnsi="微软雅黑" w:eastAsia="微软雅黑"/>
          <w:b w:val="0"/>
          <w:i w:val="0"/>
          <w:color w:val="1F4E79"/>
          <w:sz w:val="21"/>
        </w:rPr>
        <w:t xml:space="preserve">•  </w:t>
      </w:r>
      <w:r>
        <w:rPr>
          <w:rFonts w:ascii="微软雅黑" w:hAnsi="微软雅黑" w:eastAsia="微软雅黑"/>
          <w:b/>
          <w:i w:val="0"/>
          <w:sz w:val="21"/>
        </w:rPr>
        <w:t>补跑</w:t>
      </w:r>
      <w:r>
        <w:rPr>
          <w:rFonts w:ascii="微软雅黑" w:hAnsi="微软雅黑" w:eastAsia="微软雅黑"/>
          <w:b w:val="0"/>
          <w:i w:val="0"/>
          <w:sz w:val="21"/>
        </w:rPr>
        <w:t>：安全 BO / LLM 未参加 v3 五算法工况批跑，其工况曲线由冻结部署增益在同对象、同约束、同种子下补仿得到，不做任何训练/搜索。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30"/>
        </w:rPr>
        <w:t>附录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本附录列出的数据文件、代码位置与复现命令，均为</w:t>
      </w:r>
      <w:r>
        <w:rPr>
          <w:rFonts w:ascii="微软雅黑" w:hAnsi="微软雅黑" w:eastAsia="微软雅黑"/>
          <w:b/>
          <w:i w:val="0"/>
          <w:sz w:val="21"/>
        </w:rPr>
        <w:t>本项目代码仓库内的相对路径</w:t>
      </w:r>
      <w:r>
        <w:rPr>
          <w:rFonts w:ascii="微软雅黑" w:hAnsi="微软雅黑" w:eastAsia="微软雅黑"/>
          <w:b w:val="0"/>
          <w:i w:val="0"/>
          <w:sz w:val="21"/>
        </w:rPr>
        <w:t>，仅面向需要核对数据来源或复现结果的读者。仅阅读本套报告的读者可直接跳过——9 篇分报告的正文均已自包含，理解全部结论不依赖这些文件。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A 数据批次与分报告的对应关系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数据批次（仓库内目录）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主要支撑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v3 封存验收（最权威）：80 场景 holdout、三工况指标与时序、各算法训练历史、部署清单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01、03、04、07、08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outputs_tuning_benchmark/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整定耗时基准：耗时报告、分阶段耗时、λ 候选扫描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02、03、04、07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outputs_advanced_quick/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安全 BO / LLM 高级整定（启发式批次）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05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outputs_advanced_bailian/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监督整定真实调用基准（qwen-max）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05、06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outputs_llm_agent_bailian/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LLM Agent 独立真实调用会话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06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outputs_embedded_demo/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七算法统一演示（LLM 为真实调用）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02、07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5"/>
        </w:rPr>
        <w:t>B 全量数据溯源总表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B.1 数据产物索引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01～08 各篇自有的产物清单已分别列于各篇附录 A，此处不重复。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B.2 关键代码位置索引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代码位置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作用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相关报告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hvac_pid/plant.py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ThermalPlant3R2C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3R2C 被控对象状态方程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hvac_pid/config.py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Scenario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工况参数默认值（热容、热阻、执行器与传感器约束）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hvac_pid/actuator.py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CompressorCommandLimiter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执行器六条约束的统一比较层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01、00 §2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identify_fopdt_audit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阶跃试验与 FOPDT 有界最小二乘辨识（无随机源）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classical_tuning_calculation_steps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整定计算分步审计表生成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ziegler_nichols_pi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Z-N 反应曲线 PI 公式（含安全边界限幅）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02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imc_pi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IMC（SIMC）公式，保守与扫描两条路径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03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BayesianGainTuner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高斯过程代理 + 期望改进选点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04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tune_global_fixed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全局固定增益搜索入口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04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RiskAwareSafeBOTuner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风险目标（均值 + 0.75×标准差）与安全条件门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05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LLMSupervisoryTuner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监督式 LLM 整定流程与安全门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06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hvac_pid/advanced_tuning.py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OpenAICompatibleChatProposer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百炼端点调用（本次模型 qwen-max）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06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train_fnn_rule_table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规则面离线训练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07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FNNGainController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FNN 在线 2 s 查表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07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train_offline_q_policy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离线表格式 Q 学习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08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hvac_pid/ai_controllers.py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:: IncrementalRLController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RL 在线 2 s 查表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08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B.3 复现命令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目的</w:t>
            </w:r>
          </w:p>
        </w:tc>
        <w:tc>
          <w:tcPr>
            <w:tcW w:type="dxa" w:w="4759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命令（在项目根目录执行）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完整主实验（48/16/16 场景）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main.py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冒烟实验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main.py --quick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整定耗时基准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run_tuning_benchmark.py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高级整定（安全 BO / LLM，启发式）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run_advanced_tuning_benchmark.py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高级整定（真实 qwen-max 调用）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run_advanced_tuning_benchmark.py --llm-provider openai-compatible --llm-model qwen-max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七算法统一演示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run_embedded_demo.py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重生成分报告配图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reports/make_subreport_figures.py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重生成分报告 docx</w:t>
            </w:r>
          </w:p>
        </w:tc>
        <w:tc>
          <w:tcPr>
            <w:tcW w:type="dxa" w:w="4759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python reports/md2docx.py 分报告/&lt;文件名&gt;.md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真实大模型调用需在项目根目录的 </w:t>
      </w:r>
      <w:r>
        <w:rPr>
          <w:rFonts w:ascii="Consolas" w:hAnsi="Consolas" w:eastAsia="微软雅黑"/>
          <w:b w:val="0"/>
          <w:i w:val="0"/>
          <w:color w:val="A31515"/>
          <w:sz w:val="17"/>
        </w:rPr>
        <w:t>.env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 xml:space="preserve"> 中注入密钥；未配置时脚本自动回退到启发式 provider，可用于验证流水线，但</w:t>
      </w:r>
      <w:r>
        <w:rPr>
          <w:rFonts w:ascii="微软雅黑" w:hAnsi="微软雅黑" w:eastAsia="微软雅黑"/>
          <w:b/>
          <w:i w:val="0"/>
          <w:color w:val="595959"/>
          <w:sz w:val="19"/>
        </w:rPr>
        <w:t>不能</w:t>
      </w:r>
      <w:r>
        <w:rPr>
          <w:rFonts w:ascii="微软雅黑" w:hAnsi="微软雅黑" w:eastAsia="微软雅黑"/>
          <w:b w:val="0"/>
          <w:i w:val="0"/>
          <w:color w:val="595959"/>
          <w:sz w:val="19"/>
        </w:rPr>
        <w:t>作为 LLM 效果证据。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B.4 分报告配图索引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报告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 xml:space="preserve">配图文件（新图在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reports/分报告/figures/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 xml:space="preserve">；22 张复用图单源于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reports/figures/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 xml:space="preserve">，正文经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../figures/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  <w:t xml:space="preserve"> 引用）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内容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00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fig1_系统结构框图.png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fig_objective_breakdown.png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分层控制架构与信号流；综合目标 J 的权重构成与三组增益实测对比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01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fig_fopdt_fit_3cases.png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fig_fopdt_two_point_failure.png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fig_fopdt_fit_convergence.png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fig_fopdt_crossval.png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三工况 FOPDT 拟合对比；教材两点法失效实证（负延迟）；最小二乘拟合收敛过程；24 h 降阶交叉验证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02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fig_flow_zn.png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fig12_工况一_ZN.png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fig17_工况二_ZN.png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fig22_工况三_ZN.png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fig_mixed_zn.png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算法运行框图；三标准工况闭环响应；混合工况曲线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03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fig_flow_imc.png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fig13_工况一_IMC.png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fig18_工况二_IMC.png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fig23_工况三_IMC.png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fig_mixed_imc.png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算法运行框图；三标准工况闭环响应；混合工况曲线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04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fig_flow_bo.png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fig14_工况一_BO.png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fig19_工况二_BO.png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fig24_工况三_BO.png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fig_mixed_bo.png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算法运行框图；三标准工况闭环响应；混合工况曲线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05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fig_flow_safebo.png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fig_case1_safebo.png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fig_case2_safebo.png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fig_case3_safebo.png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fig_mixed_safebo.png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算法运行框图；三标准工况闭环响应（冻结增益补跑）；混合工况曲线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06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fig_flow_llm.png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fig_case1_llm.png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fig_case2_llm.png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fig_case3_llm.png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fig_mixed_llm.png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算法运行框图；三标准工况闭环响应（冻结增益补跑）；混合工况曲线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07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fig_flow_fnn.png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fig15_工况一_FNN.png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fig20_工况二_FNN.png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fig25_工况三_FNN.png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fig_mixed_fnn.png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算法运行框图；三标准工况闭环响应；混合工况曲线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08</w:t>
            </w:r>
          </w:p>
        </w:tc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fig_flow_rl.png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fig16_工况一_RL.png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fig21_工况二_RL.png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fig26_工况三_RL.png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、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fig_mixed_rl.png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算法运行框图；三标准工况闭环响应；混合工况曲线</w:t>
            </w:r>
          </w:p>
        </w:tc>
      </w:tr>
    </w:tbl>
    <w:p/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4E79"/>
          <w:sz w:val="22"/>
        </w:rPr>
        <w:t>B.5 版本与口径说明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对象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口径</w:t>
            </w:r>
          </w:p>
        </w:tc>
        <w:tc>
          <w:tcPr>
            <w:tcW w:type="dxa" w:w="3173"/>
            <w:shd w:fill="DEEAF6" w:val="clear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sz w:val="18"/>
              </w:rPr>
              <w:t>是否为本报告数据源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本套 9 篇分报告（2026-09-03 版）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3R2C 对象、80 场景 holdout、七算法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上表 A 节各批次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与本报告同源同口径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是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outputs_review_v3/submission_package/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历史交付包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：2R2C 对象、6 留出工况、20 训练工况（依据为该目录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source-notes.txt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的自述）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/>
                <w:i w:val="0"/>
                <w:sz w:val="18"/>
              </w:rPr>
              <w:t>否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——数值口径与本套报告不一致，不可混用</w:t>
            </w:r>
          </w:p>
        </w:tc>
      </w:tr>
      <w:tr>
        <w:tc>
          <w:tcPr>
            <w:tcW w:type="dxa" w:w="3173"/>
          </w:tcPr>
          <w:p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outputs/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（可重跑 regenerable scratch，封存以 </w:t>
            </w:r>
            <w:r>
              <w:rPr>
                <w:rFonts w:ascii="Consolas" w:hAnsi="Consolas" w:eastAsia="微软雅黑"/>
                <w:b w:val="0"/>
                <w:i w:val="0"/>
                <w:color w:val="A31515"/>
                <w:sz w:val="16"/>
              </w:rPr>
              <w:t>outputs_review_v3/</w:t>
            </w:r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 xml:space="preserve"> 为准）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主实验产物目录</w:t>
            </w:r>
          </w:p>
        </w:tc>
        <w:tc>
          <w:tcPr>
            <w:tcW w:type="dxa" w:w="3173"/>
          </w:tcPr>
          <w:p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部分——仅 01 引用的 24 h 交叉验证时序</w:t>
            </w:r>
          </w:p>
        </w:tc>
      </w:tr>
    </w:tbl>
    <w:p/>
    <w:p>
      <w:pPr>
        <w:spacing w:after="40"/>
        <w:ind w:left="34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本表用于防止口径混用。若同时收到历史交付材料，请以本套 2026-09-03 版分报告的「3R2C + 80 场景 holdout」口径为准。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