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dd2e8e901a75ff67f46b9c9d567ec3522c5e9b6"/>
    <w:p>
      <w:pPr>
        <w:pStyle w:val="Heading1"/>
      </w:pPr>
      <w:r>
        <w:t xml:space="preserve">Scenario 2 — Prompt B (Archive-Assisted) Response</w:t>
      </w:r>
    </w:p>
    <w:bookmarkStart w:id="9" w:name="metadata"/>
    <w:p>
      <w:pPr>
        <w:pStyle w:val="Heading2"/>
      </w:pPr>
      <w:r>
        <w:t xml:space="preserve">Metadata</w:t>
      </w:r>
    </w:p>
    <w:p>
      <w:pPr>
        <w:pStyle w:val="Compact"/>
        <w:numPr>
          <w:ilvl w:val="0"/>
          <w:numId w:val="1001"/>
        </w:numPr>
      </w:pPr>
      <w:r>
        <w:rPr>
          <w:b/>
          <w:bCs/>
        </w:rPr>
        <w:t xml:space="preserve">Model:</w:t>
      </w:r>
      <w:r>
        <w:t xml:space="preserve"> </w:t>
      </w:r>
      <w:r>
        <w:t xml:space="preserve">[GPT 5.3 Thinking]</w:t>
      </w:r>
    </w:p>
    <w:p>
      <w:pPr>
        <w:pStyle w:val="Compact"/>
        <w:numPr>
          <w:ilvl w:val="0"/>
          <w:numId w:val="1001"/>
        </w:numPr>
      </w:pPr>
      <w:r>
        <w:rPr>
          <w:b/>
          <w:bCs/>
        </w:rPr>
        <w:t xml:space="preserve">Date:</w:t>
      </w:r>
      <w:r>
        <w:t xml:space="preserve"> </w:t>
      </w:r>
      <w:r>
        <w:t xml:space="preserve">[04-04-2026]</w:t>
      </w:r>
    </w:p>
    <w:p>
      <w:pPr>
        <w:pStyle w:val="Compact"/>
        <w:numPr>
          <w:ilvl w:val="0"/>
          <w:numId w:val="1001"/>
        </w:numPr>
      </w:pPr>
      <w:r>
        <w:rPr>
          <w:b/>
          <w:bCs/>
        </w:rPr>
        <w:t xml:space="preserve">Prompt version:</w:t>
      </w:r>
      <w:r>
        <w:t xml:space="preserve"> </w:t>
      </w:r>
      <w:r>
        <w:t xml:space="preserve">B (with context files: CS11, S07, H15, H16, H17, CS04)</w:t>
      </w:r>
    </w:p>
    <w:p>
      <w:r>
        <w:pict>
          <v:rect style="width:0;height:1.5pt" o:hralign="center" o:hrstd="t" o:hr="t"/>
        </w:pict>
      </w:r>
    </w:p>
    <w:bookmarkEnd w:id="9"/>
    <w:bookmarkStart w:id="10" w:name="model-response"/>
    <w:p>
      <w:pPr>
        <w:pStyle w:val="Heading2"/>
      </w:pPr>
      <w:r>
        <w:t xml:space="preserve">Model Response</w:t>
      </w:r>
    </w:p>
    <w:bookmarkEnd w:id="10"/>
    <w:bookmarkEnd w:id="11"/>
    <w:bookmarkStart w:id="63" w:name="Xff67dd05b61bd3b04eacf98cf86a6827e859821"/>
    <w:p>
      <w:pPr>
        <w:pStyle w:val="Heading1"/>
      </w:pPr>
      <w:r>
        <w:t xml:space="preserve">Food poisoning crisis response plan for the CEO</w:t>
      </w:r>
    </w:p>
    <w:p>
      <w:pPr>
        <w:pStyle w:val="FirstParagraph"/>
      </w:pPr>
      <w:r>
        <w:rPr>
          <w:i/>
          <w:iCs/>
        </w:rPr>
        <w:t xml:space="preserve">Scenario: Manchester flagship restaurant; 15 customers hospitalised; local TV coverage; social trend in Manchester; council environmental health investigation; 12-site regional chain.</w:t>
      </w:r>
    </w:p>
    <w:p>
      <w:pPr>
        <w:pStyle w:val="BodyText"/>
      </w:pPr>
      <w:r>
        <w:t xml:space="preserve">This is a</w:t>
      </w:r>
      <w:r>
        <w:t xml:space="preserve"> </w:t>
      </w:r>
      <w:r>
        <w:rPr>
          <w:b/>
          <w:bCs/>
        </w:rPr>
        <w:t xml:space="preserve">Tier 3 crisis</w:t>
      </w:r>
      <w:r>
        <w:t xml:space="preserve"> </w:t>
      </w:r>
      <w:r>
        <w:t xml:space="preserve">under the uploaded activation guide because it involves a serious safety incident, hospitalisations, legal exposure, and active media attention [H15]. The right operating model is:</w:t>
      </w:r>
    </w:p>
    <w:p>
      <w:pPr>
        <w:pStyle w:val="Compact"/>
        <w:numPr>
          <w:ilvl w:val="0"/>
          <w:numId w:val="1002"/>
        </w:numPr>
      </w:pPr>
      <w:r>
        <w:rPr>
          <w:b/>
          <w:bCs/>
        </w:rPr>
        <w:t xml:space="preserve">fast acknowledgement</w:t>
      </w:r>
    </w:p>
    <w:p>
      <w:pPr>
        <w:pStyle w:val="Compact"/>
        <w:numPr>
          <w:ilvl w:val="0"/>
          <w:numId w:val="1002"/>
        </w:numPr>
      </w:pPr>
      <w:r>
        <w:rPr>
          <w:b/>
          <w:bCs/>
        </w:rPr>
        <w:t xml:space="preserve">single-voice communication</w:t>
      </w:r>
    </w:p>
    <w:p>
      <w:pPr>
        <w:pStyle w:val="Compact"/>
        <w:numPr>
          <w:ilvl w:val="0"/>
          <w:numId w:val="1002"/>
        </w:numPr>
      </w:pPr>
      <w:r>
        <w:rPr>
          <w:b/>
          <w:bCs/>
        </w:rPr>
        <w:t xml:space="preserve">tight legal review without paralysis</w:t>
      </w:r>
    </w:p>
    <w:p>
      <w:pPr>
        <w:pStyle w:val="Compact"/>
        <w:numPr>
          <w:ilvl w:val="0"/>
          <w:numId w:val="1002"/>
        </w:numPr>
      </w:pPr>
      <w:r>
        <w:rPr>
          <w:b/>
          <w:bCs/>
        </w:rPr>
        <w:t xml:space="preserve">visible cooperation with authorities</w:t>
      </w:r>
    </w:p>
    <w:p>
      <w:pPr>
        <w:pStyle w:val="Compact"/>
        <w:numPr>
          <w:ilvl w:val="0"/>
          <w:numId w:val="1002"/>
        </w:numPr>
      </w:pPr>
      <w:r>
        <w:rPr>
          <w:b/>
          <w:bCs/>
        </w:rPr>
        <w:t xml:space="preserve">daily stakeholder updates</w:t>
      </w:r>
    </w:p>
    <w:p>
      <w:pPr>
        <w:pStyle w:val="Compact"/>
        <w:numPr>
          <w:ilvl w:val="0"/>
          <w:numId w:val="1002"/>
        </w:numPr>
      </w:pPr>
      <w:r>
        <w:rPr>
          <w:b/>
          <w:bCs/>
        </w:rPr>
        <w:t xml:space="preserve">a 6–12 month trust rebuild programme</w:t>
      </w:r>
    </w:p>
    <w:p>
      <w:pPr>
        <w:pStyle w:val="FirstParagraph"/>
      </w:pPr>
      <w:r>
        <w:t xml:space="preserve">That mirrors the internal crisis playbook and case precedent. In [CS11], a severe food poisoning crisis was split into</w:t>
      </w:r>
      <w:r>
        <w:t xml:space="preserve"> </w:t>
      </w:r>
      <w:r>
        <w:rPr>
          <w:b/>
          <w:bCs/>
        </w:rPr>
        <w:t xml:space="preserve">immediate containment plus a 12-month recovery programme</w:t>
      </w:r>
      <w:r>
        <w:t xml:space="preserve">, and the recovery phase later delivered</w:t>
      </w:r>
      <w:r>
        <w:t xml:space="preserve"> </w:t>
      </w:r>
      <w:r>
        <w:rPr>
          <w:b/>
          <w:bCs/>
        </w:rPr>
        <w:t xml:space="preserve">Facebook +352.5%, Twitter +345%, YouTube +95.9%, Instagram +383.3%</w:t>
      </w:r>
      <w:r>
        <w:t xml:space="preserve"> </w:t>
      </w:r>
      <w:r>
        <w:t xml:space="preserve">[CS11]. In [S07], success is defined by a</w:t>
      </w:r>
      <w:r>
        <w:t xml:space="preserve"> </w:t>
      </w:r>
      <w:r>
        <w:rPr>
          <w:b/>
          <w:bCs/>
        </w:rPr>
        <w:t xml:space="preserve">holding statement within four hours</w:t>
      </w:r>
      <w:r>
        <w:t xml:space="preserve">, social sentiment stabilising in</w:t>
      </w:r>
      <w:r>
        <w:t xml:space="preserve"> </w:t>
      </w:r>
      <w:r>
        <w:rPr>
          <w:b/>
          <w:bCs/>
        </w:rPr>
        <w:t xml:space="preserve">48–72 hours</w:t>
      </w:r>
      <w:r>
        <w:t xml:space="preserve">, and then a shift into structured recovery [S07].</w:t>
      </w:r>
    </w:p>
    <w:p>
      <w:pPr>
        <w:pStyle w:val="BodyText"/>
      </w:pPr>
      <w:r>
        <w:t xml:space="preserve">Under UK law and guidance, the company should treat this as a serious food-safety event: cooperate fully with environmental health, preserve records, review food safety management/HACCP controls, and avoid any public speculation about cause until facts are confirmed. Local authorities and national partners such as the FSA and UKHSA have established outbreak-management roles in these situations. (</w:t>
      </w:r>
      <w:hyperlink r:id="rId12">
        <w:r>
          <w:rPr>
            <w:rStyle w:val="Hyperlink"/>
          </w:rPr>
          <w:t xml:space="preserve">food.gov.uk</w:t>
        </w:r>
      </w:hyperlink>
      <w:r>
        <w:t xml:space="preserve">)</w:t>
      </w:r>
    </w:p>
    <w:p>
      <w:r>
        <w:pict>
          <v:rect style="width:0;height:1.5pt" o:hralign="center" o:hrstd="t" o:hr="t"/>
        </w:pict>
      </w:r>
    </w:p>
    <w:bookmarkStart w:id="19" w:name="X49b8fbd596e311a8087588f752547d46db6abaf"/>
    <w:p>
      <w:pPr>
        <w:pStyle w:val="Heading2"/>
      </w:pPr>
      <w:r>
        <w:t xml:space="preserve">1. Immediate action plan for the next 24 hours</w:t>
      </w:r>
    </w:p>
    <w:bookmarkStart w:id="13" w:name="first-60-minutes"/>
    <w:p>
      <w:pPr>
        <w:pStyle w:val="Heading3"/>
      </w:pPr>
      <w:r>
        <w:t xml:space="preserve">First 60 minutes</w:t>
      </w:r>
    </w:p>
    <w:p>
      <w:pPr>
        <w:pStyle w:val="FirstParagraph"/>
      </w:pPr>
      <w:r>
        <w:rPr>
          <w:b/>
          <w:bCs/>
        </w:rPr>
        <w:t xml:space="preserve">1. Activate a crisis team now.</w:t>
      </w:r>
      <w:r>
        <w:br/>
      </w:r>
      <w:r>
        <w:t xml:space="preserve">Use the [H15] model and appoint, by name:</w:t>
      </w:r>
    </w:p>
    <w:p>
      <w:pPr>
        <w:pStyle w:val="Compact"/>
        <w:numPr>
          <w:ilvl w:val="0"/>
          <w:numId w:val="1003"/>
        </w:numPr>
      </w:pPr>
      <w:r>
        <w:t xml:space="preserve">Crisis Lead: CEO</w:t>
      </w:r>
    </w:p>
    <w:p>
      <w:pPr>
        <w:pStyle w:val="Compact"/>
        <w:numPr>
          <w:ilvl w:val="0"/>
          <w:numId w:val="1003"/>
        </w:numPr>
      </w:pPr>
      <w:r>
        <w:t xml:space="preserve">Spokesperson: ideally one trained senior executive, not multiple people [H15][H16]</w:t>
      </w:r>
    </w:p>
    <w:p>
      <w:pPr>
        <w:pStyle w:val="Compact"/>
        <w:numPr>
          <w:ilvl w:val="0"/>
          <w:numId w:val="1003"/>
        </w:numPr>
      </w:pPr>
      <w:r>
        <w:t xml:space="preserve">Legal adviser: external regulatory/litigation counsel</w:t>
      </w:r>
    </w:p>
    <w:p>
      <w:pPr>
        <w:pStyle w:val="Compact"/>
        <w:numPr>
          <w:ilvl w:val="0"/>
          <w:numId w:val="1003"/>
        </w:numPr>
      </w:pPr>
      <w:r>
        <w:t xml:space="preserve">Operations lead: head of ops / food safety lead</w:t>
      </w:r>
    </w:p>
    <w:p>
      <w:pPr>
        <w:pStyle w:val="Compact"/>
        <w:numPr>
          <w:ilvl w:val="0"/>
          <w:numId w:val="1003"/>
        </w:numPr>
      </w:pPr>
      <w:r>
        <w:t xml:space="preserve">Communications lead: PR/comms lead or agency</w:t>
      </w:r>
    </w:p>
    <w:p>
      <w:pPr>
        <w:pStyle w:val="Compact"/>
        <w:numPr>
          <w:ilvl w:val="0"/>
          <w:numId w:val="1003"/>
        </w:numPr>
      </w:pPr>
      <w:r>
        <w:t xml:space="preserve">Digital lead: social/community manager [H15]</w:t>
      </w:r>
    </w:p>
    <w:p>
      <w:pPr>
        <w:pStyle w:val="FirstParagraph"/>
      </w:pPr>
      <w:r>
        <w:rPr>
          <w:b/>
          <w:bCs/>
        </w:rPr>
        <w:t xml:space="preserve">2. Freeze the message environment.</w:t>
      </w:r>
      <w:r>
        <w:br/>
      </w:r>
      <w:r>
        <w:t xml:space="preserve">- Pause all scheduled content across every channel [H17]</w:t>
      </w:r>
      <w:r>
        <w:t xml:space="preserve"> </w:t>
      </w:r>
      <w:r>
        <w:t xml:space="preserve">- Instruct all staff:</w:t>
      </w:r>
      <w:r>
        <w:t xml:space="preserve"> </w:t>
      </w:r>
      <w:r>
        <w:rPr>
          <w:b/>
          <w:bCs/>
        </w:rPr>
        <w:t xml:space="preserve">no posting, no commenting, no speaking to media</w:t>
      </w:r>
      <w:r>
        <w:t xml:space="preserve"> </w:t>
      </w:r>
      <w:r>
        <w:t xml:space="preserve">- Route all press calls to one inbox/mobile number [H15][H17]</w:t>
      </w:r>
    </w:p>
    <w:p>
      <w:pPr>
        <w:pStyle w:val="BodyText"/>
      </w:pPr>
      <w:r>
        <w:rPr>
          <w:b/>
          <w:bCs/>
        </w:rPr>
        <w:t xml:space="preserve">3. Secure the site and the evidence.</w:t>
      </w:r>
      <w:r>
        <w:br/>
      </w:r>
      <w:r>
        <w:t xml:space="preserve">- Keep the Manchester site closed unless and until legal/regulatory advisers say otherwise</w:t>
      </w:r>
      <w:r>
        <w:t xml:space="preserve"> </w:t>
      </w:r>
      <w:r>
        <w:t xml:space="preserve">- Preserve CCTV, kitchen logs, temperature checks, supplier delivery notes, rota data, cleaning schedules, training records, allergen records, complaint logs</w:t>
      </w:r>
      <w:r>
        <w:t xml:space="preserve"> </w:t>
      </w:r>
      <w:r>
        <w:t xml:space="preserve">- Start a contemporaneous incident log: every decision, timestamp, and approver</w:t>
      </w:r>
    </w:p>
    <w:p>
      <w:pPr>
        <w:pStyle w:val="BodyText"/>
      </w:pPr>
      <w:r>
        <w:rPr>
          <w:b/>
          <w:bCs/>
        </w:rPr>
        <w:t xml:space="preserve">4. Issue a holding statement immediately.</w:t>
      </w:r>
      <w:r>
        <w:br/>
      </w:r>
      <w:r>
        <w:t xml:space="preserve">This is the top priority if it has not already gone out. [H16] is explicit that silence gets read as evasion.</w:t>
      </w:r>
    </w:p>
    <w:bookmarkEnd w:id="13"/>
    <w:bookmarkStart w:id="15" w:name="hours-14"/>
    <w:p>
      <w:pPr>
        <w:pStyle w:val="Heading3"/>
      </w:pPr>
      <w:r>
        <w:t xml:space="preserve">Hours 1–4</w:t>
      </w:r>
    </w:p>
    <w:p>
      <w:pPr>
        <w:pStyle w:val="FirstParagraph"/>
      </w:pPr>
      <w:r>
        <w:rPr>
          <w:b/>
          <w:bCs/>
        </w:rPr>
        <w:t xml:space="preserve">5. Get verified facts, not theories.</w:t>
      </w:r>
      <w:r>
        <w:br/>
      </w:r>
      <w:r>
        <w:t xml:space="preserve">Build a live factsheet covering:</w:t>
      </w:r>
    </w:p>
    <w:p>
      <w:pPr>
        <w:pStyle w:val="Compact"/>
        <w:numPr>
          <w:ilvl w:val="0"/>
          <w:numId w:val="1004"/>
        </w:numPr>
      </w:pPr>
      <w:r>
        <w:t xml:space="preserve">number of affected customers confirmed by authorities/hospitals</w:t>
      </w:r>
    </w:p>
    <w:p>
      <w:pPr>
        <w:pStyle w:val="Compact"/>
        <w:numPr>
          <w:ilvl w:val="0"/>
          <w:numId w:val="1004"/>
        </w:numPr>
      </w:pPr>
      <w:r>
        <w:t xml:space="preserve">what dates/times they dined</w:t>
      </w:r>
    </w:p>
    <w:p>
      <w:pPr>
        <w:pStyle w:val="Compact"/>
        <w:numPr>
          <w:ilvl w:val="0"/>
          <w:numId w:val="1004"/>
        </w:numPr>
      </w:pPr>
      <w:r>
        <w:t xml:space="preserve">whether one meal period/product is implicated</w:t>
      </w:r>
    </w:p>
    <w:p>
      <w:pPr>
        <w:pStyle w:val="Compact"/>
        <w:numPr>
          <w:ilvl w:val="0"/>
          <w:numId w:val="1004"/>
        </w:numPr>
      </w:pPr>
      <w:r>
        <w:t xml:space="preserve">status of Manchester site</w:t>
      </w:r>
    </w:p>
    <w:p>
      <w:pPr>
        <w:pStyle w:val="Compact"/>
        <w:numPr>
          <w:ilvl w:val="0"/>
          <w:numId w:val="1004"/>
        </w:numPr>
      </w:pPr>
      <w:r>
        <w:t xml:space="preserve">whether any other site has linked complaints</w:t>
      </w:r>
    </w:p>
    <w:p>
      <w:pPr>
        <w:pStyle w:val="Compact"/>
        <w:numPr>
          <w:ilvl w:val="0"/>
          <w:numId w:val="1004"/>
        </w:numPr>
      </w:pPr>
      <w:r>
        <w:t xml:space="preserve">what regulators have requested</w:t>
      </w:r>
    </w:p>
    <w:p>
      <w:pPr>
        <w:pStyle w:val="Compact"/>
        <w:numPr>
          <w:ilvl w:val="0"/>
          <w:numId w:val="1004"/>
        </w:numPr>
      </w:pPr>
      <w:r>
        <w:t xml:space="preserve">what support is being offered to affected customers</w:t>
      </w:r>
    </w:p>
    <w:p>
      <w:pPr>
        <w:pStyle w:val="FirstParagraph"/>
      </w:pPr>
      <w:r>
        <w:rPr>
          <w:b/>
          <w:bCs/>
        </w:rPr>
        <w:t xml:space="preserve">6. Notify and cooperate with authorities.</w:t>
      </w:r>
      <w:r>
        <w:br/>
      </w:r>
      <w:r>
        <w:t xml:space="preserve">Your external position should be cooperative and non-defensive. Food businesses are expected to work with local authorities during suspected food poisoning incidents, and outbreak management in England is coordinated across local health protection, environmental health, FSA, and UKHSA structures. (</w:t>
      </w:r>
      <w:hyperlink r:id="rId12">
        <w:r>
          <w:rPr>
            <w:rStyle w:val="Hyperlink"/>
          </w:rPr>
          <w:t xml:space="preserve">food.gov.uk</w:t>
        </w:r>
      </w:hyperlink>
      <w:r>
        <w:t xml:space="preserve">)</w:t>
      </w:r>
    </w:p>
    <w:p>
      <w:pPr>
        <w:pStyle w:val="BodyText"/>
      </w:pPr>
      <w:r>
        <w:rPr>
          <w:b/>
          <w:bCs/>
        </w:rPr>
        <w:t xml:space="preserve">7. Commission an urgent food-safety review across all 12 sites.</w:t>
      </w:r>
      <w:r>
        <w:br/>
      </w:r>
      <w:r>
        <w:t xml:space="preserve">Not because you know the cause, but because you need visible precautionary action. Check:</w:t>
      </w:r>
    </w:p>
    <w:p>
      <w:pPr>
        <w:pStyle w:val="Compact"/>
        <w:numPr>
          <w:ilvl w:val="0"/>
          <w:numId w:val="1005"/>
        </w:numPr>
      </w:pPr>
      <w:r>
        <w:t xml:space="preserve">temperature logs</w:t>
      </w:r>
    </w:p>
    <w:p>
      <w:pPr>
        <w:pStyle w:val="Compact"/>
        <w:numPr>
          <w:ilvl w:val="0"/>
          <w:numId w:val="1005"/>
        </w:numPr>
      </w:pPr>
      <w:r>
        <w:t xml:space="preserve">supplier traceability</w:t>
      </w:r>
    </w:p>
    <w:p>
      <w:pPr>
        <w:pStyle w:val="Compact"/>
        <w:numPr>
          <w:ilvl w:val="0"/>
          <w:numId w:val="1005"/>
        </w:numPr>
      </w:pPr>
      <w:r>
        <w:t xml:space="preserve">cleaning and sanitising records</w:t>
      </w:r>
    </w:p>
    <w:p>
      <w:pPr>
        <w:pStyle w:val="Compact"/>
        <w:numPr>
          <w:ilvl w:val="0"/>
          <w:numId w:val="1005"/>
        </w:numPr>
      </w:pPr>
      <w:r>
        <w:t xml:space="preserve">staff illness reporting</w:t>
      </w:r>
    </w:p>
    <w:p>
      <w:pPr>
        <w:pStyle w:val="Compact"/>
        <w:numPr>
          <w:ilvl w:val="0"/>
          <w:numId w:val="1005"/>
        </w:numPr>
      </w:pPr>
      <w:r>
        <w:t xml:space="preserve">handwashing compliance</w:t>
      </w:r>
    </w:p>
    <w:p>
      <w:pPr>
        <w:pStyle w:val="Compact"/>
        <w:numPr>
          <w:ilvl w:val="0"/>
          <w:numId w:val="1005"/>
        </w:numPr>
      </w:pPr>
      <w:r>
        <w:t xml:space="preserve">segregation / cross-contamination controls</w:t>
      </w:r>
    </w:p>
    <w:p>
      <w:pPr>
        <w:pStyle w:val="Compact"/>
        <w:numPr>
          <w:ilvl w:val="0"/>
          <w:numId w:val="1005"/>
        </w:numPr>
      </w:pPr>
      <w:r>
        <w:t xml:space="preserve">hot-hold / chilled-hold compliance</w:t>
      </w:r>
    </w:p>
    <w:p>
      <w:pPr>
        <w:pStyle w:val="Compact"/>
        <w:numPr>
          <w:ilvl w:val="0"/>
          <w:numId w:val="1005"/>
        </w:numPr>
      </w:pPr>
      <w:r>
        <w:t xml:space="preserve">high-risk ingredients common to all branches</w:t>
      </w:r>
    </w:p>
    <w:p>
      <w:pPr>
        <w:pStyle w:val="FirstParagraph"/>
      </w:pPr>
      <w:r>
        <w:t xml:space="preserve">The FSA expects businesses to have food safety management procedures based on HACCP principles. (</w:t>
      </w:r>
      <w:hyperlink r:id="rId14">
        <w:r>
          <w:rPr>
            <w:rStyle w:val="Hyperlink"/>
          </w:rPr>
          <w:t xml:space="preserve">food.gov.uk</w:t>
        </w:r>
      </w:hyperlink>
      <w:r>
        <w:t xml:space="preserve">)</w:t>
      </w:r>
    </w:p>
    <w:bookmarkEnd w:id="15"/>
    <w:bookmarkStart w:id="16" w:name="hours-412"/>
    <w:p>
      <w:pPr>
        <w:pStyle w:val="Heading3"/>
      </w:pPr>
      <w:r>
        <w:t xml:space="preserve">Hours 4–12</w:t>
      </w:r>
    </w:p>
    <w:p>
      <w:pPr>
        <w:pStyle w:val="FirstParagraph"/>
      </w:pPr>
      <w:r>
        <w:rPr>
          <w:b/>
          <w:bCs/>
        </w:rPr>
        <w:t xml:space="preserve">8. Send an all-staff instruction memo and hold manager calls.</w:t>
      </w:r>
      <w:r>
        <w:br/>
      </w:r>
      <w:r>
        <w:t xml:space="preserve">Staff anxiety is already becoming a secondary crisis. [S07] and [H15] both warn that uninformed employees create leaks, contradictions, and speculation [S07][H15].</w:t>
      </w:r>
    </w:p>
    <w:p>
      <w:pPr>
        <w:pStyle w:val="BodyText"/>
      </w:pPr>
      <w:r>
        <w:t xml:space="preserve">Message to staff should include:</w:t>
      </w:r>
    </w:p>
    <w:p>
      <w:pPr>
        <w:pStyle w:val="Compact"/>
        <w:numPr>
          <w:ilvl w:val="0"/>
          <w:numId w:val="1006"/>
        </w:numPr>
      </w:pPr>
      <w:r>
        <w:t xml:space="preserve">only the spokesperson may comment externally</w:t>
      </w:r>
    </w:p>
    <w:p>
      <w:pPr>
        <w:pStyle w:val="Compact"/>
        <w:numPr>
          <w:ilvl w:val="0"/>
          <w:numId w:val="1006"/>
        </w:numPr>
      </w:pPr>
      <w:r>
        <w:t xml:space="preserve">do not speculate online</w:t>
      </w:r>
    </w:p>
    <w:p>
      <w:pPr>
        <w:pStyle w:val="Compact"/>
        <w:numPr>
          <w:ilvl w:val="0"/>
          <w:numId w:val="1006"/>
        </w:numPr>
      </w:pPr>
      <w:r>
        <w:t xml:space="preserve">do not discuss customers’ health or identities</w:t>
      </w:r>
    </w:p>
    <w:p>
      <w:pPr>
        <w:pStyle w:val="Compact"/>
        <w:numPr>
          <w:ilvl w:val="0"/>
          <w:numId w:val="1006"/>
        </w:numPr>
      </w:pPr>
      <w:r>
        <w:t xml:space="preserve">refer media/public queries centrally</w:t>
      </w:r>
    </w:p>
    <w:p>
      <w:pPr>
        <w:pStyle w:val="Compact"/>
        <w:numPr>
          <w:ilvl w:val="0"/>
          <w:numId w:val="1006"/>
        </w:numPr>
      </w:pPr>
      <w:r>
        <w:t xml:space="preserve">branch managers will receive approved customer-facing language</w:t>
      </w:r>
    </w:p>
    <w:p>
      <w:pPr>
        <w:pStyle w:val="FirstParagraph"/>
      </w:pPr>
      <w:r>
        <w:rPr>
          <w:b/>
          <w:bCs/>
        </w:rPr>
        <w:t xml:space="preserve">9. Publish one pinned update on every social platform.</w:t>
      </w:r>
      <w:r>
        <w:br/>
      </w:r>
      <w:r>
        <w:t xml:space="preserve">Use the same core wording as the holding statement, adapted slightly for platform length [H17].</w:t>
      </w:r>
    </w:p>
    <w:p>
      <w:pPr>
        <w:pStyle w:val="BodyText"/>
      </w:pPr>
      <w:r>
        <w:rPr>
          <w:b/>
          <w:bCs/>
        </w:rPr>
        <w:t xml:space="preserve">10. Decline live interviews for now; offer a written statement.</w:t>
      </w:r>
      <w:r>
        <w:br/>
      </w:r>
      <w:r>
        <w:t xml:space="preserve">For the two national journalists, the CEO should not do a live or probing interview yet unless fully briefed and media-trained. Offer:</w:t>
      </w:r>
      <w:r>
        <w:t xml:space="preserve"> </w:t>
      </w:r>
      <w:r>
        <w:t xml:space="preserve">- written statement now</w:t>
      </w:r>
      <w:r>
        <w:t xml:space="preserve"> </w:t>
      </w:r>
      <w:r>
        <w:t xml:space="preserve">- next update time</w:t>
      </w:r>
      <w:r>
        <w:t xml:space="preserve"> </w:t>
      </w:r>
      <w:r>
        <w:t xml:space="preserve">- later recorded interview only if facts improve</w:t>
      </w:r>
    </w:p>
    <w:bookmarkEnd w:id="16"/>
    <w:bookmarkStart w:id="18" w:name="hours-1224"/>
    <w:p>
      <w:pPr>
        <w:pStyle w:val="Heading3"/>
      </w:pPr>
      <w:r>
        <w:t xml:space="preserve">Hours 12–24</w:t>
      </w:r>
    </w:p>
    <w:p>
      <w:pPr>
        <w:pStyle w:val="FirstParagraph"/>
      </w:pPr>
      <w:r>
        <w:rPr>
          <w:b/>
          <w:bCs/>
        </w:rPr>
        <w:t xml:space="preserve">11. Launch stakeholder communications in parallel.</w:t>
      </w:r>
      <w:r>
        <w:t xml:space="preserve"> </w:t>
      </w:r>
      <w:r>
        <w:t xml:space="preserve">Send tailored messages to:</w:t>
      </w:r>
    </w:p>
    <w:p>
      <w:pPr>
        <w:pStyle w:val="Compact"/>
        <w:numPr>
          <w:ilvl w:val="0"/>
          <w:numId w:val="1007"/>
        </w:numPr>
      </w:pPr>
      <w:r>
        <w:t xml:space="preserve">affected customers / families</w:t>
      </w:r>
    </w:p>
    <w:p>
      <w:pPr>
        <w:pStyle w:val="Compact"/>
        <w:numPr>
          <w:ilvl w:val="0"/>
          <w:numId w:val="1007"/>
        </w:numPr>
      </w:pPr>
      <w:r>
        <w:t xml:space="preserve">current bookings</w:t>
      </w:r>
    </w:p>
    <w:p>
      <w:pPr>
        <w:pStyle w:val="Compact"/>
        <w:numPr>
          <w:ilvl w:val="0"/>
          <w:numId w:val="1007"/>
        </w:numPr>
      </w:pPr>
      <w:r>
        <w:t xml:space="preserve">staff</w:t>
      </w:r>
    </w:p>
    <w:p>
      <w:pPr>
        <w:pStyle w:val="Compact"/>
        <w:numPr>
          <w:ilvl w:val="0"/>
          <w:numId w:val="1007"/>
        </w:numPr>
      </w:pPr>
      <w:r>
        <w:t xml:space="preserve">suppliers</w:t>
      </w:r>
    </w:p>
    <w:p>
      <w:pPr>
        <w:pStyle w:val="Compact"/>
        <w:numPr>
          <w:ilvl w:val="0"/>
          <w:numId w:val="1007"/>
        </w:numPr>
      </w:pPr>
      <w:r>
        <w:t xml:space="preserve">landlords</w:t>
      </w:r>
    </w:p>
    <w:p>
      <w:pPr>
        <w:pStyle w:val="Compact"/>
        <w:numPr>
          <w:ilvl w:val="0"/>
          <w:numId w:val="1007"/>
        </w:numPr>
      </w:pPr>
      <w:r>
        <w:t xml:space="preserve">insurers</w:t>
      </w:r>
    </w:p>
    <w:p>
      <w:pPr>
        <w:pStyle w:val="Compact"/>
        <w:numPr>
          <w:ilvl w:val="0"/>
          <w:numId w:val="1007"/>
        </w:numPr>
      </w:pPr>
      <w:r>
        <w:t xml:space="preserve">lenders / investors if relevant</w:t>
      </w:r>
    </w:p>
    <w:p>
      <w:pPr>
        <w:pStyle w:val="FirstParagraph"/>
      </w:pPr>
      <w:r>
        <w:rPr>
          <w:b/>
          <w:bCs/>
        </w:rPr>
        <w:t xml:space="preserve">12. Announce concrete steps, not generic concern.</w:t>
      </w:r>
      <w:r>
        <w:br/>
      </w:r>
      <w:r>
        <w:t xml:space="preserve">By the end of day one, you want to be able to say:</w:t>
      </w:r>
    </w:p>
    <w:p>
      <w:pPr>
        <w:pStyle w:val="Compact"/>
        <w:numPr>
          <w:ilvl w:val="0"/>
          <w:numId w:val="1008"/>
        </w:numPr>
      </w:pPr>
      <w:r>
        <w:t xml:space="preserve">Manchester site voluntarily closed pending investigation</w:t>
      </w:r>
    </w:p>
    <w:p>
      <w:pPr>
        <w:pStyle w:val="Compact"/>
        <w:numPr>
          <w:ilvl w:val="0"/>
          <w:numId w:val="1008"/>
        </w:numPr>
      </w:pPr>
      <w:r>
        <w:t xml:space="preserve">independent food-safety specialists appointed</w:t>
      </w:r>
    </w:p>
    <w:p>
      <w:pPr>
        <w:pStyle w:val="Compact"/>
        <w:numPr>
          <w:ilvl w:val="0"/>
          <w:numId w:val="1008"/>
        </w:numPr>
      </w:pPr>
      <w:r>
        <w:t xml:space="preserve">group-wide precautionary audits underway</w:t>
      </w:r>
    </w:p>
    <w:p>
      <w:pPr>
        <w:pStyle w:val="Compact"/>
        <w:numPr>
          <w:ilvl w:val="0"/>
          <w:numId w:val="1008"/>
        </w:numPr>
      </w:pPr>
      <w:r>
        <w:t xml:space="preserve">support line/email established</w:t>
      </w:r>
    </w:p>
    <w:p>
      <w:pPr>
        <w:pStyle w:val="Compact"/>
        <w:numPr>
          <w:ilvl w:val="0"/>
          <w:numId w:val="1008"/>
        </w:numPr>
      </w:pPr>
      <w:r>
        <w:t xml:space="preserve">cooperation with environmental health ongoing</w:t>
      </w:r>
    </w:p>
    <w:p>
      <w:pPr>
        <w:pStyle w:val="FirstParagraph"/>
      </w:pPr>
      <w:r>
        <w:rPr>
          <w:b/>
          <w:bCs/>
        </w:rPr>
        <w:t xml:space="preserve">13. Establish an update cadence.</w:t>
      </w:r>
      <w:r>
        <w:br/>
      </w:r>
      <w:r>
        <w:t xml:space="preserve">Follow a CERC-style rhythm: early messages should express empathy, explain what you know, what you do not yet know, and what actions people should take. (</w:t>
      </w:r>
      <w:hyperlink r:id="rId17">
        <w:r>
          <w:rPr>
            <w:rStyle w:val="Hyperlink"/>
          </w:rPr>
          <w:t xml:space="preserve">cdc.gov</w:t>
        </w:r>
      </w:hyperlink>
      <w:r>
        <w:t xml:space="preserve">)</w:t>
      </w:r>
    </w:p>
    <w:p>
      <w:r>
        <w:pict>
          <v:rect style="width:0;height:1.5pt" o:hralign="center" o:hrstd="t" o:hr="t"/>
        </w:pict>
      </w:r>
    </w:p>
    <w:bookmarkEnd w:id="18"/>
    <w:bookmarkEnd w:id="19"/>
    <w:bookmarkStart w:id="22" w:name="ready-to-use-holding-statement-for-media"/>
    <w:p>
      <w:pPr>
        <w:pStyle w:val="Heading2"/>
      </w:pPr>
      <w:r>
        <w:t xml:space="preserve">2. Ready-to-use holding statement for media</w:t>
      </w:r>
    </w:p>
    <w:p>
      <w:pPr>
        <w:pStyle w:val="FirstParagraph"/>
      </w:pPr>
      <w:r>
        <w:t xml:space="preserve">Below is a version that follows the [H16] structure: acknowledge, express concern, state action, promise updates [H16].</w:t>
      </w:r>
    </w:p>
    <w:p>
      <w:pPr>
        <w:pStyle w:val="BlockText"/>
      </w:pPr>
      <w:r>
        <w:rPr>
          <w:b/>
          <w:bCs/>
        </w:rPr>
        <w:t xml:space="preserve">Holding statement for immediate release</w:t>
      </w:r>
    </w:p>
    <w:p>
      <w:pPr>
        <w:pStyle w:val="BlockText"/>
      </w:pPr>
      <w:r>
        <w:t xml:space="preserve">“We are deeply concerned by reports that a number of customers became unwell after visiting our Manchester restaurant, and our thoughts are with everyone affected.</w:t>
      </w:r>
    </w:p>
    <w:p>
      <w:pPr>
        <w:pStyle w:val="BlockText"/>
      </w:pPr>
      <w:r>
        <w:t xml:space="preserve">We can confirm that we are cooperating fully with the local authority’s environmental health team and supporting their investigation as a priority.</w:t>
      </w:r>
    </w:p>
    <w:p>
      <w:pPr>
        <w:pStyle w:val="BlockText"/>
      </w:pPr>
      <w:r>
        <w:t xml:space="preserve">As a precaution, we have closed our Manchester restaurant while we work urgently to understand what happened. We have also begun immediate checks across our wider estate.</w:t>
      </w:r>
    </w:p>
    <w:p>
      <w:pPr>
        <w:pStyle w:val="BlockText"/>
      </w:pPr>
      <w:r>
        <w:t xml:space="preserve">The safety and wellbeing of our customers and staff is our highest priority. Because this is an active investigation, it would be inappropriate to speculate on the cause at this stage.</w:t>
      </w:r>
    </w:p>
    <w:p>
      <w:pPr>
        <w:pStyle w:val="BlockText"/>
      </w:pPr>
      <w:r>
        <w:t xml:space="preserve">We will provide further updates as soon as we have verified information to share.”</w:t>
      </w:r>
    </w:p>
    <w:p>
      <w:pPr>
        <w:pStyle w:val="BlockText"/>
      </w:pPr>
      <w:r>
        <w:t xml:space="preserve">—</w:t>
      </w:r>
      <w:r>
        <w:t xml:space="preserve"> </w:t>
      </w:r>
      <w:r>
        <w:rPr>
          <w:b/>
          <w:bCs/>
        </w:rPr>
        <w:t xml:space="preserve">[CEO name], Chief Executive</w:t>
      </w:r>
    </w:p>
    <w:bookmarkStart w:id="20" w:name="Xfbc78546fd9eb50d223addcb2c2dfa3a3813f4f"/>
    <w:p>
      <w:pPr>
        <w:pStyle w:val="Heading3"/>
      </w:pPr>
      <w:r>
        <w:t xml:space="preserve">Optional second paragraph for customer channels</w:t>
      </w:r>
    </w:p>
    <w:p>
      <w:pPr>
        <w:pStyle w:val="BlockText"/>
      </w:pPr>
      <w:r>
        <w:t xml:space="preserve">“Any customer who is concerned and believes they may have been affected should contact [dedicated phone/email/web page] so we can support them directly.”</w:t>
      </w:r>
    </w:p>
    <w:bookmarkEnd w:id="20"/>
    <w:bookmarkStart w:id="21" w:name="what-the-ceo-should-say-if-pressed-live"/>
    <w:p>
      <w:pPr>
        <w:pStyle w:val="Heading3"/>
      </w:pPr>
      <w:r>
        <w:t xml:space="preserve">What the CEO should say if pressed live</w:t>
      </w:r>
    </w:p>
    <w:p>
      <w:pPr>
        <w:pStyle w:val="FirstParagraph"/>
      </w:pPr>
      <w:r>
        <w:t xml:space="preserve">Use only three lines:</w:t>
      </w:r>
      <w:r>
        <w:t xml:space="preserve"> </w:t>
      </w:r>
      <w:r>
        <w:t xml:space="preserve">1. “Our priority is the wellbeing of those affected.”</w:t>
      </w:r>
      <w:r>
        <w:br/>
      </w:r>
      <w:r>
        <w:t xml:space="preserve">2. “We are cooperating fully with environmental health.”</w:t>
      </w:r>
      <w:r>
        <w:br/>
      </w:r>
      <w:r>
        <w:t xml:space="preserve">3. “We will not speculate until the facts are established.”</w:t>
      </w:r>
    </w:p>
    <w:p>
      <w:r>
        <w:pict>
          <v:rect style="width:0;height:1.5pt" o:hralign="center" o:hrstd="t" o:hr="t"/>
        </w:pict>
      </w:r>
    </w:p>
    <w:bookmarkEnd w:id="21"/>
    <w:bookmarkEnd w:id="22"/>
    <w:bookmarkStart w:id="35" w:name="social-media-response-strategy"/>
    <w:p>
      <w:pPr>
        <w:pStyle w:val="Heading2"/>
      </w:pPr>
      <w:r>
        <w:t xml:space="preserve">3. Social media response strategy</w:t>
      </w:r>
    </w:p>
    <w:p>
      <w:pPr>
        <w:pStyle w:val="FirstParagraph"/>
      </w:pPr>
      <w:r>
        <w:t xml:space="preserve">[H17] is the right operating manual here: pause scheduled content, monitor continuously, use the holding statement only, and</w:t>
      </w:r>
      <w:r>
        <w:t xml:space="preserve"> </w:t>
      </w:r>
      <w:r>
        <w:rPr>
          <w:b/>
          <w:bCs/>
        </w:rPr>
        <w:t xml:space="preserve">do not delete legitimate criticism</w:t>
      </w:r>
      <w:r>
        <w:t xml:space="preserve"> </w:t>
      </w:r>
      <w:r>
        <w:t xml:space="preserve">[H17].</w:t>
      </w:r>
    </w:p>
    <w:bookmarkStart w:id="23" w:name="channel-strategy-for-the-next-7-days"/>
    <w:p>
      <w:pPr>
        <w:pStyle w:val="Heading3"/>
      </w:pPr>
      <w:r>
        <w:t xml:space="preserve">Channel strategy for the next 7 days</w:t>
      </w:r>
    </w:p>
    <w:p>
      <w:pPr>
        <w:pStyle w:val="FirstParagraph"/>
      </w:pPr>
      <w:r>
        <w:rPr>
          <w:b/>
          <w:bCs/>
        </w:rPr>
        <w:t xml:space="preserve">Pinned post on X, Facebook, Instagram, LinkedIn</w:t>
      </w:r>
      <w:r>
        <w:t xml:space="preserve"> </w:t>
      </w:r>
      <w:r>
        <w:t xml:space="preserve">- same core statement everywhere</w:t>
      </w:r>
      <w:r>
        <w:t xml:space="preserve"> </w:t>
      </w:r>
      <w:r>
        <w:t xml:space="preserve">- comments left on where manageable</w:t>
      </w:r>
      <w:r>
        <w:t xml:space="preserve"> </w:t>
      </w:r>
      <w:r>
        <w:t xml:space="preserve">- link to one central updates page</w:t>
      </w:r>
    </w:p>
    <w:p>
      <w:pPr>
        <w:pStyle w:val="BodyText"/>
      </w:pPr>
      <w:r>
        <w:rPr>
          <w:b/>
          <w:bCs/>
        </w:rPr>
        <w:t xml:space="preserve">Response rules</w:t>
      </w:r>
      <w:r>
        <w:t xml:space="preserve"> </w:t>
      </w:r>
      <w:r>
        <w:t xml:space="preserve">- respond only where there is a question, direct accusation, or welfare concern</w:t>
      </w:r>
      <w:r>
        <w:t xml:space="preserve"> </w:t>
      </w:r>
      <w:r>
        <w:t xml:space="preserve">- do not argue</w:t>
      </w:r>
      <w:r>
        <w:t xml:space="preserve"> </w:t>
      </w:r>
      <w:r>
        <w:t xml:space="preserve">- do not copy-paste robotically on every thread</w:t>
      </w:r>
      <w:r>
        <w:t xml:space="preserve"> </w:t>
      </w:r>
      <w:r>
        <w:t xml:space="preserve">- remove only threats, hate speech, doxxing, or personal medical information [H17]</w:t>
      </w:r>
    </w:p>
    <w:p>
      <w:pPr>
        <w:pStyle w:val="BodyText"/>
      </w:pPr>
      <w:r>
        <w:rPr>
          <w:b/>
          <w:bCs/>
        </w:rPr>
        <w:t xml:space="preserve">Monitoring buckets</w:t>
      </w:r>
      <w:r>
        <w:t xml:space="preserve"> </w:t>
      </w:r>
      <w:r>
        <w:t xml:space="preserve">1. welfare concerns from customers</w:t>
      </w:r>
      <w:r>
        <w:t xml:space="preserve"> </w:t>
      </w:r>
      <w:r>
        <w:t xml:space="preserve">2. media/journalist enquiries</w:t>
      </w:r>
      <w:r>
        <w:t xml:space="preserve"> </w:t>
      </w:r>
      <w:r>
        <w:t xml:space="preserve">3. misinformation/false claims</w:t>
      </w:r>
      <w:r>
        <w:t xml:space="preserve"> </w:t>
      </w:r>
      <w:r>
        <w:t xml:space="preserve">4. employee posts</w:t>
      </w:r>
      <w:r>
        <w:t xml:space="preserve"> </w:t>
      </w:r>
      <w:r>
        <w:t xml:space="preserve">5. coordinated trolling / pile-ons</w:t>
      </w:r>
      <w:r>
        <w:t xml:space="preserve"> </w:t>
      </w:r>
      <w:r>
        <w:t xml:space="preserve">6. legal-risk comments naming individuals or alleging facts not in evidence</w:t>
      </w:r>
    </w:p>
    <w:bookmarkEnd w:id="23"/>
    <w:bookmarkStart w:id="24" w:name="tone"/>
    <w:p>
      <w:pPr>
        <w:pStyle w:val="Heading3"/>
      </w:pPr>
      <w:r>
        <w:t xml:space="preserve">Tone</w:t>
      </w:r>
    </w:p>
    <w:p>
      <w:pPr>
        <w:pStyle w:val="FirstParagraph"/>
      </w:pPr>
      <w:r>
        <w:t xml:space="preserve">Use a mix of</w:t>
      </w:r>
      <w:r>
        <w:t xml:space="preserve"> </w:t>
      </w:r>
      <w:r>
        <w:rPr>
          <w:b/>
          <w:bCs/>
        </w:rPr>
        <w:t xml:space="preserve">empathy + action + boundaries</w:t>
      </w:r>
      <w:r>
        <w:t xml:space="preserve">.</w:t>
      </w:r>
      <w:r>
        <w:br/>
      </w:r>
      <w:r>
        <w:t xml:space="preserve">This is also consistent with CERC: express empathy, be first, be credible, promote action, show respect. (</w:t>
      </w:r>
      <w:hyperlink r:id="rId17">
        <w:r>
          <w:rPr>
            <w:rStyle w:val="Hyperlink"/>
          </w:rPr>
          <w:t xml:space="preserve">cdc.gov</w:t>
        </w:r>
      </w:hyperlink>
      <w:r>
        <w:t xml:space="preserve">)</w:t>
      </w:r>
    </w:p>
    <w:bookmarkEnd w:id="24"/>
    <w:bookmarkStart w:id="34" w:name="template-responses"/>
    <w:p>
      <w:pPr>
        <w:pStyle w:val="Heading3"/>
      </w:pPr>
      <w:r>
        <w:t xml:space="preserve">Template responses</w:t>
      </w:r>
    </w:p>
    <w:bookmarkStart w:id="25" w:name="a.-angry-customer"/>
    <w:p>
      <w:pPr>
        <w:pStyle w:val="Heading4"/>
      </w:pPr>
      <w:r>
        <w:t xml:space="preserve">A. Angry customer</w:t>
      </w:r>
    </w:p>
    <w:p>
      <w:pPr>
        <w:pStyle w:val="BlockText"/>
      </w:pPr>
      <w:r>
        <w:t xml:space="preserve">We’re very sorry to read this. We’re treating this with the utmost seriousness and are cooperating fully with the environmental health investigation. Please send your contact details to [email/DM route] so our team can support you directly.</w:t>
      </w:r>
    </w:p>
    <w:bookmarkEnd w:id="25"/>
    <w:bookmarkStart w:id="26" w:name="b.-your-food-made-people-seriously-ill"/>
    <w:p>
      <w:pPr>
        <w:pStyle w:val="Heading4"/>
      </w:pPr>
      <w:r>
        <w:t xml:space="preserve">B. “Your food made people seriously ill”</w:t>
      </w:r>
    </w:p>
    <w:p>
      <w:pPr>
        <w:pStyle w:val="BlockText"/>
      </w:pPr>
      <w:r>
        <w:t xml:space="preserve">We understand why people are deeply concerned. Our Manchester restaurant is closed as a precaution while the investigation is underway, and we’re cooperating fully with the relevant authorities. We’ll share further verified updates as soon as we can.</w:t>
      </w:r>
    </w:p>
    <w:bookmarkEnd w:id="26"/>
    <w:bookmarkStart w:id="27" w:name="Xb9d04cdfd291ca2913348398db916ad8e291610"/>
    <w:p>
      <w:pPr>
        <w:pStyle w:val="Heading4"/>
      </w:pPr>
      <w:r>
        <w:t xml:space="preserve">C. “This happened because your company doesn’t care about hygiene”</w:t>
      </w:r>
    </w:p>
    <w:p>
      <w:pPr>
        <w:pStyle w:val="BlockText"/>
      </w:pPr>
      <w:r>
        <w:t xml:space="preserve">We understand the concern. It would be inappropriate to speculate while the investigation is active, but we are taking immediate action, including precautionary checks and full cooperation with environmental health.</w:t>
      </w:r>
    </w:p>
    <w:bookmarkEnd w:id="27"/>
    <w:bookmarkStart w:id="28" w:name="X9a22d3b374a13601efbe08955b566858479e7ab"/>
    <w:p>
      <w:pPr>
        <w:pStyle w:val="Heading4"/>
      </w:pPr>
      <w:r>
        <w:t xml:space="preserve">D. “Is it safe to eat at your other branches?”</w:t>
      </w:r>
    </w:p>
    <w:p>
      <w:pPr>
        <w:pStyle w:val="BlockText"/>
      </w:pPr>
      <w:r>
        <w:t xml:space="preserve">We understand why customers are asking this. We have initiated immediate checks across our wider estate as a precaution. At present, the investigation relates to our Manchester restaurant, and we will provide updates if that position changes.</w:t>
      </w:r>
    </w:p>
    <w:bookmarkEnd w:id="28"/>
    <w:bookmarkStart w:id="29" w:name="e.-request-for-refund-compensation"/>
    <w:p>
      <w:pPr>
        <w:pStyle w:val="Heading4"/>
      </w:pPr>
      <w:r>
        <w:t xml:space="preserve">E. Request for refund / compensation</w:t>
      </w:r>
    </w:p>
    <w:p>
      <w:pPr>
        <w:pStyle w:val="BlockText"/>
      </w:pPr>
      <w:r>
        <w:t xml:space="preserve">Please contact [dedicated email/phone/form] with your visit details so our customer support team can review this urgently.</w:t>
      </w:r>
    </w:p>
    <w:bookmarkEnd w:id="29"/>
    <w:bookmarkStart w:id="30" w:name="f.-journalist-on-social-media"/>
    <w:p>
      <w:pPr>
        <w:pStyle w:val="Heading4"/>
      </w:pPr>
      <w:r>
        <w:t xml:space="preserve">F. Journalist on social media</w:t>
      </w:r>
    </w:p>
    <w:p>
      <w:pPr>
        <w:pStyle w:val="BlockText"/>
      </w:pPr>
      <w:r>
        <w:t xml:space="preserve">Thanks for your message. Please send media enquiries to [press email/mobile]. Our current statement is here: [link].</w:t>
      </w:r>
    </w:p>
    <w:bookmarkEnd w:id="30"/>
    <w:bookmarkStart w:id="31" w:name="g.-misinformation-false-viral-claim"/>
    <w:p>
      <w:pPr>
        <w:pStyle w:val="Heading4"/>
      </w:pPr>
      <w:r>
        <w:t xml:space="preserve">G. Misinformation / false viral claim</w:t>
      </w:r>
    </w:p>
    <w:p>
      <w:pPr>
        <w:pStyle w:val="BlockText"/>
      </w:pPr>
      <w:r>
        <w:t xml:space="preserve">We want to correct one point: [brief factual correction]. We are cooperating fully with the ongoing investigation and will continue to share verified updates through our official channels.</w:t>
      </w:r>
    </w:p>
    <w:bookmarkEnd w:id="31"/>
    <w:bookmarkStart w:id="32" w:name="h.-abusive-profane-comment"/>
    <w:p>
      <w:pPr>
        <w:pStyle w:val="Heading4"/>
      </w:pPr>
      <w:r>
        <w:t xml:space="preserve">H. Abusive / profane comment</w:t>
      </w:r>
    </w:p>
    <w:p>
      <w:pPr>
        <w:pStyle w:val="FirstParagraph"/>
      </w:pPr>
      <w:r>
        <w:t xml:space="preserve">No public back-and-forth. Hide or moderate only if it breaches platform rules or includes threats/doxxing [H17].</w:t>
      </w:r>
    </w:p>
    <w:bookmarkEnd w:id="32"/>
    <w:bookmarkStart w:id="33" w:name="i.-staff-posting-publicly"/>
    <w:p>
      <w:pPr>
        <w:pStyle w:val="Heading4"/>
      </w:pPr>
      <w:r>
        <w:t xml:space="preserve">I. Staff posting publicly</w:t>
      </w:r>
    </w:p>
    <w:p>
      <w:pPr>
        <w:pStyle w:val="FirstParagraph"/>
      </w:pPr>
      <w:r>
        <w:t xml:space="preserve">Ask them to delete only if they reveal confidential info or breach policy; otherwise handle internally and immediately issue the staff note. Do not start a public argument with employees.</w:t>
      </w:r>
    </w:p>
    <w:p>
      <w:r>
        <w:pict>
          <v:rect style="width:0;height:1.5pt" o:hralign="center" o:hrstd="t" o:hr="t"/>
        </w:pict>
      </w:r>
    </w:p>
    <w:bookmarkEnd w:id="33"/>
    <w:bookmarkEnd w:id="34"/>
    <w:bookmarkEnd w:id="35"/>
    <w:bookmarkStart w:id="40" w:name="Xb26462b5ceb401ae992cf37f4ac9561ffb9ede4"/>
    <w:p>
      <w:pPr>
        <w:pStyle w:val="Heading2"/>
      </w:pPr>
      <w:r>
        <w:t xml:space="preserve">4. Plan for the next 30 days to stabilise the situation</w:t>
      </w:r>
    </w:p>
    <w:bookmarkStart w:id="36" w:name="days-13"/>
    <w:p>
      <w:pPr>
        <w:pStyle w:val="Heading3"/>
      </w:pPr>
      <w:r>
        <w:t xml:space="preserve">Days 1–3</w:t>
      </w:r>
    </w:p>
    <w:p>
      <w:pPr>
        <w:pStyle w:val="Compact"/>
        <w:numPr>
          <w:ilvl w:val="0"/>
          <w:numId w:val="1009"/>
        </w:numPr>
      </w:pPr>
      <w:r>
        <w:t xml:space="preserve">Maintain daily crisis team calls</w:t>
      </w:r>
    </w:p>
    <w:p>
      <w:pPr>
        <w:pStyle w:val="Compact"/>
        <w:numPr>
          <w:ilvl w:val="0"/>
          <w:numId w:val="1009"/>
        </w:numPr>
      </w:pPr>
      <w:r>
        <w:t xml:space="preserve">Update statement at least once every 24 hours, even if only to say investigation continues</w:t>
      </w:r>
    </w:p>
    <w:p>
      <w:pPr>
        <w:pStyle w:val="Compact"/>
        <w:numPr>
          <w:ilvl w:val="0"/>
          <w:numId w:val="1009"/>
        </w:numPr>
      </w:pPr>
      <w:r>
        <w:t xml:space="preserve">Launch customer support line / form</w:t>
      </w:r>
    </w:p>
    <w:p>
      <w:pPr>
        <w:pStyle w:val="Compact"/>
        <w:numPr>
          <w:ilvl w:val="0"/>
          <w:numId w:val="1009"/>
        </w:numPr>
      </w:pPr>
      <w:r>
        <w:t xml:space="preserve">Complete group-wide food safety audit</w:t>
      </w:r>
    </w:p>
    <w:p>
      <w:pPr>
        <w:pStyle w:val="Compact"/>
        <w:numPr>
          <w:ilvl w:val="0"/>
          <w:numId w:val="1009"/>
        </w:numPr>
      </w:pPr>
      <w:r>
        <w:t xml:space="preserve">Brief branch managers daily</w:t>
      </w:r>
    </w:p>
    <w:p>
      <w:pPr>
        <w:pStyle w:val="Compact"/>
        <w:numPr>
          <w:ilvl w:val="0"/>
          <w:numId w:val="1009"/>
        </w:numPr>
      </w:pPr>
      <w:r>
        <w:t xml:space="preserve">Prepare CEO Q&amp;A and hostile-question prep</w:t>
      </w:r>
    </w:p>
    <w:p>
      <w:pPr>
        <w:pStyle w:val="Compact"/>
        <w:numPr>
          <w:ilvl w:val="0"/>
          <w:numId w:val="1009"/>
        </w:numPr>
      </w:pPr>
      <w:r>
        <w:t xml:space="preserve">Identify whether a short video statement will help or inflame</w:t>
      </w:r>
    </w:p>
    <w:bookmarkEnd w:id="36"/>
    <w:bookmarkStart w:id="37" w:name="days-47"/>
    <w:p>
      <w:pPr>
        <w:pStyle w:val="Heading3"/>
      </w:pPr>
      <w:r>
        <w:t xml:space="preserve">Days 4–7</w:t>
      </w:r>
    </w:p>
    <w:p>
      <w:pPr>
        <w:pStyle w:val="Compact"/>
        <w:numPr>
          <w:ilvl w:val="0"/>
          <w:numId w:val="1010"/>
        </w:numPr>
      </w:pPr>
      <w:r>
        <w:t xml:space="preserve">If facts allow, announce corrective actions:</w:t>
      </w:r>
    </w:p>
    <w:p>
      <w:pPr>
        <w:pStyle w:val="Compact"/>
        <w:numPr>
          <w:ilvl w:val="1"/>
          <w:numId w:val="1011"/>
        </w:numPr>
      </w:pPr>
      <w:r>
        <w:t xml:space="preserve">independent food-safety audit partner</w:t>
      </w:r>
    </w:p>
    <w:p>
      <w:pPr>
        <w:pStyle w:val="Compact"/>
        <w:numPr>
          <w:ilvl w:val="1"/>
          <w:numId w:val="1011"/>
        </w:numPr>
      </w:pPr>
      <w:r>
        <w:t xml:space="preserve">retraining programme</w:t>
      </w:r>
    </w:p>
    <w:p>
      <w:pPr>
        <w:pStyle w:val="Compact"/>
        <w:numPr>
          <w:ilvl w:val="1"/>
          <w:numId w:val="1011"/>
        </w:numPr>
      </w:pPr>
      <w:r>
        <w:t xml:space="preserve">supplier/product review</w:t>
      </w:r>
    </w:p>
    <w:p>
      <w:pPr>
        <w:pStyle w:val="Compact"/>
        <w:numPr>
          <w:ilvl w:val="1"/>
          <w:numId w:val="1011"/>
        </w:numPr>
      </w:pPr>
      <w:r>
        <w:t xml:space="preserve">enhanced illness-reporting and kitchen controls</w:t>
      </w:r>
    </w:p>
    <w:p>
      <w:pPr>
        <w:pStyle w:val="Compact"/>
        <w:numPr>
          <w:ilvl w:val="0"/>
          <w:numId w:val="1010"/>
        </w:numPr>
      </w:pPr>
      <w:r>
        <w:t xml:space="preserve">Begin direct outreach to key local stakeholders in Manchester</w:t>
      </w:r>
    </w:p>
    <w:p>
      <w:pPr>
        <w:pStyle w:val="Compact"/>
        <w:numPr>
          <w:ilvl w:val="0"/>
          <w:numId w:val="1010"/>
        </w:numPr>
      </w:pPr>
      <w:r>
        <w:t xml:space="preserve">Start daily review-platform monitoring and triage</w:t>
      </w:r>
    </w:p>
    <w:p>
      <w:pPr>
        <w:pStyle w:val="Compact"/>
        <w:numPr>
          <w:ilvl w:val="0"/>
          <w:numId w:val="1010"/>
        </w:numPr>
      </w:pPr>
      <w:r>
        <w:t xml:space="preserve">Decide whether branches need local signage/customer notices</w:t>
      </w:r>
    </w:p>
    <w:bookmarkEnd w:id="37"/>
    <w:bookmarkStart w:id="38" w:name="days-814"/>
    <w:p>
      <w:pPr>
        <w:pStyle w:val="Heading3"/>
      </w:pPr>
      <w:r>
        <w:t xml:space="preserve">Days 8–14</w:t>
      </w:r>
    </w:p>
    <w:p>
      <w:pPr>
        <w:pStyle w:val="Compact"/>
        <w:numPr>
          <w:ilvl w:val="0"/>
          <w:numId w:val="1012"/>
        </w:numPr>
      </w:pPr>
      <w:r>
        <w:t xml:space="preserve">Publish a more substantive update: “what we have done since the incident”</w:t>
      </w:r>
    </w:p>
    <w:p>
      <w:pPr>
        <w:pStyle w:val="Compact"/>
        <w:numPr>
          <w:ilvl w:val="0"/>
          <w:numId w:val="1012"/>
        </w:numPr>
      </w:pPr>
      <w:r>
        <w:t xml:space="preserve">Hold staff listening sessions branch-by-branch</w:t>
      </w:r>
    </w:p>
    <w:p>
      <w:pPr>
        <w:pStyle w:val="Compact"/>
        <w:numPr>
          <w:ilvl w:val="0"/>
          <w:numId w:val="1012"/>
        </w:numPr>
      </w:pPr>
      <w:r>
        <w:t xml:space="preserve">Prepare FAQ for customers and front-line teams</w:t>
      </w:r>
    </w:p>
    <w:p>
      <w:pPr>
        <w:pStyle w:val="Compact"/>
        <w:numPr>
          <w:ilvl w:val="0"/>
          <w:numId w:val="1012"/>
        </w:numPr>
      </w:pPr>
      <w:r>
        <w:t xml:space="preserve">Resume non-promotional, service-oriented content only if sentiment begins to stabilise</w:t>
      </w:r>
    </w:p>
    <w:p>
      <w:pPr>
        <w:pStyle w:val="Compact"/>
        <w:numPr>
          <w:ilvl w:val="0"/>
          <w:numId w:val="1012"/>
        </w:numPr>
      </w:pPr>
      <w:r>
        <w:t xml:space="preserve">If regulators permit, begin selective proactive media outreach with evidence of action</w:t>
      </w:r>
    </w:p>
    <w:bookmarkEnd w:id="38"/>
    <w:bookmarkStart w:id="39" w:name="days-1530"/>
    <w:p>
      <w:pPr>
        <w:pStyle w:val="Heading3"/>
      </w:pPr>
      <w:r>
        <w:t xml:space="preserve">Days 15–30</w:t>
      </w:r>
    </w:p>
    <w:p>
      <w:pPr>
        <w:pStyle w:val="Compact"/>
        <w:numPr>
          <w:ilvl w:val="0"/>
          <w:numId w:val="1013"/>
        </w:numPr>
      </w:pPr>
      <w:r>
        <w:t xml:space="preserve">Move from apology/containment to accountability/reassurance</w:t>
      </w:r>
    </w:p>
    <w:p>
      <w:pPr>
        <w:pStyle w:val="Compact"/>
        <w:numPr>
          <w:ilvl w:val="0"/>
          <w:numId w:val="1013"/>
        </w:numPr>
      </w:pPr>
      <w:r>
        <w:t xml:space="preserve">Publish evidence of improvement:</w:t>
      </w:r>
    </w:p>
    <w:p>
      <w:pPr>
        <w:pStyle w:val="Compact"/>
        <w:numPr>
          <w:ilvl w:val="1"/>
          <w:numId w:val="1014"/>
        </w:numPr>
      </w:pPr>
      <w:r>
        <w:t xml:space="preserve">external audit completed</w:t>
      </w:r>
    </w:p>
    <w:p>
      <w:pPr>
        <w:pStyle w:val="Compact"/>
        <w:numPr>
          <w:ilvl w:val="1"/>
          <w:numId w:val="1014"/>
        </w:numPr>
      </w:pPr>
      <w:r>
        <w:t xml:space="preserve">corrective actions implemented</w:t>
      </w:r>
    </w:p>
    <w:p>
      <w:pPr>
        <w:pStyle w:val="Compact"/>
        <w:numPr>
          <w:ilvl w:val="1"/>
          <w:numId w:val="1014"/>
        </w:numPr>
      </w:pPr>
      <w:r>
        <w:t xml:space="preserve">retraining completed</w:t>
      </w:r>
    </w:p>
    <w:p>
      <w:pPr>
        <w:pStyle w:val="Compact"/>
        <w:numPr>
          <w:ilvl w:val="1"/>
          <w:numId w:val="1014"/>
        </w:numPr>
      </w:pPr>
      <w:r>
        <w:t xml:space="preserve">revised food-safety governance</w:t>
      </w:r>
    </w:p>
    <w:p>
      <w:pPr>
        <w:pStyle w:val="Compact"/>
        <w:numPr>
          <w:ilvl w:val="0"/>
          <w:numId w:val="1013"/>
        </w:numPr>
      </w:pPr>
      <w:r>
        <w:t xml:space="preserve">Launch a customer care interception process for complaints before they become public reviews, reflecting the [CS04] lesson that unhappy customers should be intercepted before they post [CS04]</w:t>
      </w:r>
    </w:p>
    <w:p>
      <w:pPr>
        <w:pStyle w:val="Compact"/>
        <w:numPr>
          <w:ilvl w:val="0"/>
          <w:numId w:val="1013"/>
        </w:numPr>
      </w:pPr>
      <w:r>
        <w:t xml:space="preserve">Build a monthly reporting dashboard: sentiment, review score, response time, press volume, bookings, branch-specific complaints</w:t>
      </w:r>
    </w:p>
    <w:p>
      <w:pPr>
        <w:pStyle w:val="FirstParagraph"/>
      </w:pPr>
      <w:r>
        <w:t xml:space="preserve">This 30-day structure follows [S07]: immediate containment, sustained management, then transition into recovery [S07].</w:t>
      </w:r>
    </w:p>
    <w:p>
      <w:r>
        <w:pict>
          <v:rect style="width:0;height:1.5pt" o:hralign="center" o:hrstd="t" o:hr="t"/>
        </w:pict>
      </w:r>
    </w:p>
    <w:bookmarkEnd w:id="39"/>
    <w:bookmarkEnd w:id="40"/>
    <w:bookmarkStart w:id="45" w:name="month-reputation-recovery-strategy"/>
    <w:p>
      <w:pPr>
        <w:pStyle w:val="Heading2"/>
      </w:pPr>
      <w:r>
        <w:t xml:space="preserve">5. 6–12 month reputation recovery strategy</w:t>
      </w:r>
    </w:p>
    <w:p>
      <w:pPr>
        <w:pStyle w:val="FirstParagraph"/>
      </w:pPr>
      <w:r>
        <w:t xml:space="preserve">This is where [CS11] is especially valuable. The internal lesson is that severe crises require a</w:t>
      </w:r>
      <w:r>
        <w:t xml:space="preserve"> </w:t>
      </w:r>
      <w:r>
        <w:rPr>
          <w:b/>
          <w:bCs/>
        </w:rPr>
        <w:t xml:space="preserve">real 12-month programme</w:t>
      </w:r>
      <w:r>
        <w:t xml:space="preserve">, not a two-week PR burst [CS11]. Use four workstreams:</w:t>
      </w:r>
    </w:p>
    <w:bookmarkStart w:id="41" w:name="a.-safety-and-governance-rebuild"/>
    <w:p>
      <w:pPr>
        <w:pStyle w:val="Heading3"/>
      </w:pPr>
      <w:r>
        <w:t xml:space="preserve">A. Safety and governance rebuild</w:t>
      </w:r>
    </w:p>
    <w:p>
      <w:pPr>
        <w:pStyle w:val="Compact"/>
        <w:numPr>
          <w:ilvl w:val="0"/>
          <w:numId w:val="1015"/>
        </w:numPr>
      </w:pPr>
      <w:r>
        <w:t xml:space="preserve">independent quarterly food-safety audits</w:t>
      </w:r>
    </w:p>
    <w:p>
      <w:pPr>
        <w:pStyle w:val="Compact"/>
        <w:numPr>
          <w:ilvl w:val="0"/>
          <w:numId w:val="1015"/>
        </w:numPr>
      </w:pPr>
      <w:r>
        <w:t xml:space="preserve">visible board oversight</w:t>
      </w:r>
    </w:p>
    <w:p>
      <w:pPr>
        <w:pStyle w:val="Compact"/>
        <w:numPr>
          <w:ilvl w:val="0"/>
          <w:numId w:val="1015"/>
        </w:numPr>
      </w:pPr>
      <w:r>
        <w:t xml:space="preserve">revised HACCP/SFBB controls where needed</w:t>
      </w:r>
    </w:p>
    <w:p>
      <w:pPr>
        <w:pStyle w:val="Compact"/>
        <w:numPr>
          <w:ilvl w:val="0"/>
          <w:numId w:val="1015"/>
        </w:numPr>
      </w:pPr>
      <w:r>
        <w:t xml:space="preserve">staff retraining and certification refresh</w:t>
      </w:r>
    </w:p>
    <w:p>
      <w:pPr>
        <w:pStyle w:val="Compact"/>
        <w:numPr>
          <w:ilvl w:val="0"/>
          <w:numId w:val="1015"/>
        </w:numPr>
      </w:pPr>
      <w:r>
        <w:t xml:space="preserve">supplier assurance review</w:t>
      </w:r>
    </w:p>
    <w:p>
      <w:pPr>
        <w:pStyle w:val="Compact"/>
        <w:numPr>
          <w:ilvl w:val="0"/>
          <w:numId w:val="1015"/>
        </w:numPr>
      </w:pPr>
      <w:r>
        <w:t xml:space="preserve">quarterly summary of improvements on website</w:t>
      </w:r>
    </w:p>
    <w:p>
      <w:pPr>
        <w:pStyle w:val="FirstParagraph"/>
      </w:pPr>
      <w:r>
        <w:t xml:space="preserve">The FSA’s business guidance reinforces the need for robust food safety management systems. (</w:t>
      </w:r>
      <w:hyperlink r:id="rId14">
        <w:r>
          <w:rPr>
            <w:rStyle w:val="Hyperlink"/>
          </w:rPr>
          <w:t xml:space="preserve">food.gov.uk</w:t>
        </w:r>
      </w:hyperlink>
      <w:r>
        <w:t xml:space="preserve">)</w:t>
      </w:r>
    </w:p>
    <w:bookmarkEnd w:id="41"/>
    <w:bookmarkStart w:id="42" w:name="b.-communications-and-transparency"/>
    <w:p>
      <w:pPr>
        <w:pStyle w:val="Heading3"/>
      </w:pPr>
      <w:r>
        <w:t xml:space="preserve">B. Communications and transparency</w:t>
      </w:r>
    </w:p>
    <w:p>
      <w:pPr>
        <w:pStyle w:val="Compact"/>
        <w:numPr>
          <w:ilvl w:val="0"/>
          <w:numId w:val="1016"/>
        </w:numPr>
      </w:pPr>
      <w:r>
        <w:t xml:space="preserve">monthly “what we changed” updates for 3–6 months</w:t>
      </w:r>
    </w:p>
    <w:p>
      <w:pPr>
        <w:pStyle w:val="Compact"/>
        <w:numPr>
          <w:ilvl w:val="0"/>
          <w:numId w:val="1016"/>
        </w:numPr>
      </w:pPr>
      <w:r>
        <w:t xml:space="preserve">one designated executive voice</w:t>
      </w:r>
    </w:p>
    <w:p>
      <w:pPr>
        <w:pStyle w:val="Compact"/>
        <w:numPr>
          <w:ilvl w:val="0"/>
          <w:numId w:val="1016"/>
        </w:numPr>
      </w:pPr>
      <w:r>
        <w:t xml:space="preserve">local Manchester community outreach</w:t>
      </w:r>
    </w:p>
    <w:p>
      <w:pPr>
        <w:pStyle w:val="Compact"/>
        <w:numPr>
          <w:ilvl w:val="0"/>
          <w:numId w:val="1016"/>
        </w:numPr>
      </w:pPr>
      <w:r>
        <w:t xml:space="preserve">controlled media re-engagement once proof points exist</w:t>
      </w:r>
    </w:p>
    <w:p>
      <w:pPr>
        <w:pStyle w:val="Compact"/>
        <w:numPr>
          <w:ilvl w:val="0"/>
          <w:numId w:val="1016"/>
        </w:numPr>
      </w:pPr>
      <w:r>
        <w:t xml:space="preserve">case-study style content showing operational improvements</w:t>
      </w:r>
    </w:p>
    <w:bookmarkEnd w:id="42"/>
    <w:bookmarkStart w:id="43" w:name="c.-social-and-content-recovery"/>
    <w:p>
      <w:pPr>
        <w:pStyle w:val="Heading3"/>
      </w:pPr>
      <w:r>
        <w:t xml:space="preserve">C. Social and content recovery</w:t>
      </w:r>
    </w:p>
    <w:p>
      <w:pPr>
        <w:pStyle w:val="FirstParagraph"/>
      </w:pPr>
      <w:r>
        <w:t xml:space="preserve">Borrow the [CS11] recovery logic:</w:t>
      </w:r>
      <w:r>
        <w:t xml:space="preserve"> </w:t>
      </w:r>
      <w:r>
        <w:t xml:space="preserve">- consistent positive content volume</w:t>
      </w:r>
      <w:r>
        <w:t xml:space="preserve"> </w:t>
      </w:r>
      <w:r>
        <w:t xml:space="preserve">- behind-the-scenes kitchen safety/process content</w:t>
      </w:r>
      <w:r>
        <w:t xml:space="preserve"> </w:t>
      </w:r>
      <w:r>
        <w:t xml:space="preserve">- staff stories and local community partnerships</w:t>
      </w:r>
      <w:r>
        <w:t xml:space="preserve"> </w:t>
      </w:r>
      <w:r>
        <w:t xml:space="preserve">- user-generated content from satisfied customers</w:t>
      </w:r>
      <w:r>
        <w:t xml:space="preserve"> </w:t>
      </w:r>
      <w:r>
        <w:t xml:space="preserve">- regular video content</w:t>
      </w:r>
    </w:p>
    <w:p>
      <w:pPr>
        <w:pStyle w:val="BodyText"/>
      </w:pPr>
      <w:r>
        <w:t xml:space="preserve">The core principle from [H17] is right:</w:t>
      </w:r>
      <w:r>
        <w:t xml:space="preserve"> </w:t>
      </w:r>
      <w:r>
        <w:rPr>
          <w:b/>
          <w:bCs/>
        </w:rPr>
        <w:t xml:space="preserve">out-produce, do not out-debate</w:t>
      </w:r>
      <w:r>
        <w:t xml:space="preserve"> </w:t>
      </w:r>
      <w:r>
        <w:t xml:space="preserve">[H17]. In [CS11], that sustained approach supported the 12‑month recovery with major channel growth [CS11].</w:t>
      </w:r>
    </w:p>
    <w:bookmarkEnd w:id="43"/>
    <w:bookmarkStart w:id="44" w:name="X7b8883df373993a0c1383be55a9afb380b6fc7c"/>
    <w:p>
      <w:pPr>
        <w:pStyle w:val="Heading3"/>
      </w:pPr>
      <w:r>
        <w:t xml:space="preserve">D. Reviews, customer service, and trust signals</w:t>
      </w:r>
    </w:p>
    <w:p>
      <w:pPr>
        <w:pStyle w:val="FirstParagraph"/>
      </w:pPr>
      <w:r>
        <w:t xml:space="preserve">Following [CS04]:</w:t>
      </w:r>
      <w:r>
        <w:t xml:space="preserve"> </w:t>
      </w:r>
      <w:r>
        <w:t xml:space="preserve">- daily review monitoring</w:t>
      </w:r>
      <w:r>
        <w:t xml:space="preserve"> </w:t>
      </w:r>
      <w:r>
        <w:t xml:space="preserve">- response SLA within 24 hours</w:t>
      </w:r>
      <w:r>
        <w:t xml:space="preserve"> </w:t>
      </w:r>
      <w:r>
        <w:t xml:space="preserve">- branch-level escalation paths</w:t>
      </w:r>
      <w:r>
        <w:t xml:space="preserve"> </w:t>
      </w:r>
      <w:r>
        <w:t xml:space="preserve">- customer service portal / help page</w:t>
      </w:r>
      <w:r>
        <w:t xml:space="preserve"> </w:t>
      </w:r>
      <w:r>
        <w:t xml:space="preserve">- post-visit satisfaction capture</w:t>
      </w:r>
      <w:r>
        <w:t xml:space="preserve"> </w:t>
      </w:r>
      <w:r>
        <w:t xml:space="preserve">- ethical review-generation from verified customers only</w:t>
      </w:r>
    </w:p>
    <w:p>
      <w:pPr>
        <w:pStyle w:val="BodyText"/>
      </w:pPr>
      <w:r>
        <w:t xml:space="preserve">In [CS04], sustained review management improved Trustpilot from</w:t>
      </w:r>
      <w:r>
        <w:t xml:space="preserve"> </w:t>
      </w:r>
      <w:r>
        <w:rPr>
          <w:b/>
          <w:bCs/>
        </w:rPr>
        <w:t xml:space="preserve">5.4 to 7.0</w:t>
      </w:r>
      <w:r>
        <w:t xml:space="preserve">, increased total review volume</w:t>
      </w:r>
      <w:r>
        <w:t xml:space="preserve"> </w:t>
      </w:r>
      <w:r>
        <w:rPr>
          <w:b/>
          <w:bCs/>
        </w:rPr>
        <w:t xml:space="preserve">127%</w:t>
      </w:r>
      <w:r>
        <w:t xml:space="preserve">, and increased response rate</w:t>
      </w:r>
      <w:r>
        <w:t xml:space="preserve"> </w:t>
      </w:r>
      <w:r>
        <w:rPr>
          <w:b/>
          <w:bCs/>
        </w:rPr>
        <w:t xml:space="preserve">121%</w:t>
      </w:r>
      <w:r>
        <w:t xml:space="preserve"> </w:t>
      </w:r>
      <w:r>
        <w:t xml:space="preserve">over an extended programme [CS04].</w:t>
      </w:r>
    </w:p>
    <w:p>
      <w:r>
        <w:pict>
          <v:rect style="width:0;height:1.5pt" o:hralign="center" o:hrstd="t" o:hr="t"/>
        </w:pict>
      </w:r>
    </w:p>
    <w:bookmarkEnd w:id="44"/>
    <w:bookmarkEnd w:id="45"/>
    <w:bookmarkStart w:id="52" w:name="X54580da4a62cd4a16733deea4bcda866c27e3fd"/>
    <w:p>
      <w:pPr>
        <w:pStyle w:val="Heading2"/>
      </w:pPr>
      <w:r>
        <w:t xml:space="preserve">6. How to handle the Trustpilot review bombing</w:t>
      </w:r>
    </w:p>
    <w:p>
      <w:pPr>
        <w:pStyle w:val="FirstParagraph"/>
      </w:pPr>
      <w:r>
        <w:t xml:space="preserve">Treat this as both a</w:t>
      </w:r>
      <w:r>
        <w:t xml:space="preserve"> </w:t>
      </w:r>
      <w:r>
        <w:rPr>
          <w:b/>
          <w:bCs/>
        </w:rPr>
        <w:t xml:space="preserve">compliance issue</w:t>
      </w:r>
      <w:r>
        <w:t xml:space="preserve"> </w:t>
      </w:r>
      <w:r>
        <w:t xml:space="preserve">and a</w:t>
      </w:r>
      <w:r>
        <w:t xml:space="preserve"> </w:t>
      </w:r>
      <w:r>
        <w:rPr>
          <w:b/>
          <w:bCs/>
        </w:rPr>
        <w:t xml:space="preserve">reputation issue</w:t>
      </w:r>
      <w:r>
        <w:t xml:space="preserve">.</w:t>
      </w:r>
    </w:p>
    <w:bookmarkStart w:id="48" w:name="what-to-do-immediately"/>
    <w:p>
      <w:pPr>
        <w:pStyle w:val="Heading3"/>
      </w:pPr>
      <w:r>
        <w:t xml:space="preserve">What to do immediately</w:t>
      </w:r>
    </w:p>
    <w:p>
      <w:pPr>
        <w:pStyle w:val="FirstParagraph"/>
      </w:pPr>
      <w:r>
        <w:rPr>
          <w:b/>
          <w:bCs/>
        </w:rPr>
        <w:t xml:space="preserve">1. Claim and actively manage the business profile.</w:t>
      </w:r>
      <w:r>
        <w:br/>
      </w:r>
      <w:r>
        <w:t xml:space="preserve">Respond publicly, calmly, and consistently.</w:t>
      </w:r>
    </w:p>
    <w:p>
      <w:pPr>
        <w:pStyle w:val="BodyText"/>
      </w:pPr>
      <w:r>
        <w:rPr>
          <w:b/>
          <w:bCs/>
        </w:rPr>
        <w:t xml:space="preserve">2. Audit incoming reviews by category.</w:t>
      </w:r>
      <w:r>
        <w:t xml:space="preserve"> </w:t>
      </w:r>
      <w:r>
        <w:t xml:space="preserve">Split into:</w:t>
      </w:r>
      <w:r>
        <w:t xml:space="preserve"> </w:t>
      </w:r>
      <w:r>
        <w:t xml:space="preserve">- genuine customer complaints</w:t>
      </w:r>
      <w:r>
        <w:t xml:space="preserve"> </w:t>
      </w:r>
      <w:r>
        <w:t xml:space="preserve">- duplicate reviews</w:t>
      </w:r>
      <w:r>
        <w:t xml:space="preserve"> </w:t>
      </w:r>
      <w:r>
        <w:t xml:space="preserve">- clearly fake/non-customer reviews</w:t>
      </w:r>
      <w:r>
        <w:t xml:space="preserve"> </w:t>
      </w:r>
      <w:r>
        <w:t xml:space="preserve">- media-driven pile-on with no genuine experience</w:t>
      </w:r>
      <w:r>
        <w:t xml:space="preserve"> </w:t>
      </w:r>
      <w:r>
        <w:t xml:space="preserve">- abusive / defamatory / doxxing content</w:t>
      </w:r>
    </w:p>
    <w:p>
      <w:pPr>
        <w:pStyle w:val="BodyText"/>
      </w:pPr>
      <w:r>
        <w:rPr>
          <w:b/>
          <w:bCs/>
        </w:rPr>
        <w:t xml:space="preserve">3. Flag only reviews that actually breach Trustpilot rules.</w:t>
      </w:r>
      <w:r>
        <w:br/>
      </w:r>
      <w:r>
        <w:t xml:space="preserve">Trustpilot allows businesses to flag reviews that breach guidelines, including fake reviews, harmful content, and personal information, but misuse of flagging tools is itself a risk. (</w:t>
      </w:r>
      <w:hyperlink r:id="rId46">
        <w:r>
          <w:rPr>
            <w:rStyle w:val="Hyperlink"/>
          </w:rPr>
          <w:t xml:space="preserve">legal.trustpilot.com</w:t>
        </w:r>
      </w:hyperlink>
      <w:r>
        <w:t xml:space="preserve">)</w:t>
      </w:r>
    </w:p>
    <w:p>
      <w:pPr>
        <w:pStyle w:val="BodyText"/>
      </w:pPr>
      <w:r>
        <w:rPr>
          <w:b/>
          <w:bCs/>
        </w:rPr>
        <w:t xml:space="preserve">4. Do not mass-flag all negative reviews.</w:t>
      </w:r>
      <w:r>
        <w:br/>
      </w:r>
      <w:r>
        <w:t xml:space="preserve">That will look defensive and can backfire.</w:t>
      </w:r>
    </w:p>
    <w:p>
      <w:pPr>
        <w:pStyle w:val="BodyText"/>
      </w:pPr>
      <w:r>
        <w:rPr>
          <w:b/>
          <w:bCs/>
        </w:rPr>
        <w:t xml:space="preserve">5. Respond to genuine negative reviews with a three-part structure.</w:t>
      </w:r>
      <w:r>
        <w:t xml:space="preserve"> </w:t>
      </w:r>
      <w:r>
        <w:t xml:space="preserve">- acknowledge concern</w:t>
      </w:r>
      <w:r>
        <w:t xml:space="preserve"> </w:t>
      </w:r>
      <w:r>
        <w:t xml:space="preserve">- say you are investigating/taking action</w:t>
      </w:r>
      <w:r>
        <w:t xml:space="preserve"> </w:t>
      </w:r>
      <w:r>
        <w:t xml:space="preserve">- move to an offline channel</w:t>
      </w:r>
    </w:p>
    <w:bookmarkStart w:id="47" w:name="example-trustpilot-response"/>
    <w:p>
      <w:pPr>
        <w:pStyle w:val="Heading4"/>
      </w:pPr>
      <w:r>
        <w:t xml:space="preserve">Example Trustpilot response</w:t>
      </w:r>
    </w:p>
    <w:p>
      <w:pPr>
        <w:pStyle w:val="BlockText"/>
      </w:pPr>
      <w:r>
        <w:t xml:space="preserve">We are very sorry for the concern this incident has caused. We are cooperating fully with the ongoing environmental health investigation and have taken immediate precautionary action. If you visited the restaurant and would like support, please contact [team/email] with your booking details so we can assist directly.</w:t>
      </w:r>
    </w:p>
    <w:bookmarkEnd w:id="47"/>
    <w:bookmarkEnd w:id="48"/>
    <w:bookmarkStart w:id="50" w:name="what-not-to-do"/>
    <w:p>
      <w:pPr>
        <w:pStyle w:val="Heading3"/>
      </w:pPr>
      <w:r>
        <w:t xml:space="preserve">What not to do</w:t>
      </w:r>
    </w:p>
    <w:p>
      <w:pPr>
        <w:pStyle w:val="Compact"/>
        <w:numPr>
          <w:ilvl w:val="0"/>
          <w:numId w:val="1017"/>
        </w:numPr>
      </w:pPr>
      <w:r>
        <w:t xml:space="preserve">do not buy or solicit fake balancing reviews</w:t>
      </w:r>
    </w:p>
    <w:p>
      <w:pPr>
        <w:pStyle w:val="Compact"/>
        <w:numPr>
          <w:ilvl w:val="0"/>
          <w:numId w:val="1017"/>
        </w:numPr>
      </w:pPr>
      <w:r>
        <w:t xml:space="preserve">do not pressure staff/friends to post reviews</w:t>
      </w:r>
    </w:p>
    <w:p>
      <w:pPr>
        <w:pStyle w:val="Compact"/>
        <w:numPr>
          <w:ilvl w:val="0"/>
          <w:numId w:val="1017"/>
        </w:numPr>
      </w:pPr>
      <w:r>
        <w:t xml:space="preserve">do not selectively suppress legitimate reviews</w:t>
      </w:r>
    </w:p>
    <w:p>
      <w:pPr>
        <w:pStyle w:val="FirstParagraph"/>
      </w:pPr>
      <w:r>
        <w:t xml:space="preserve">The CMA’s 2025 fake reviews guidance says businesses that publish consumer reviews must take steps to prevent fake reviews and misleading review information. (</w:t>
      </w:r>
      <w:hyperlink r:id="rId49">
        <w:r>
          <w:rPr>
            <w:rStyle w:val="Hyperlink"/>
          </w:rPr>
          <w:t xml:space="preserve">gov.uk</w:t>
        </w:r>
      </w:hyperlink>
      <w:r>
        <w:t xml:space="preserve">)</w:t>
      </w:r>
    </w:p>
    <w:bookmarkEnd w:id="50"/>
    <w:bookmarkStart w:id="51" w:name="recovery-objective"/>
    <w:p>
      <w:pPr>
        <w:pStyle w:val="Heading3"/>
      </w:pPr>
      <w:r>
        <w:t xml:space="preserve">Recovery objective</w:t>
      </w:r>
    </w:p>
    <w:p>
      <w:pPr>
        <w:pStyle w:val="FirstParagraph"/>
      </w:pPr>
      <w:r>
        <w:t xml:space="preserve">The goal is not “erase criticism.” It is:</w:t>
      </w:r>
      <w:r>
        <w:t xml:space="preserve"> </w:t>
      </w:r>
      <w:r>
        <w:t xml:space="preserve">- remove clear fakes under platform rules</w:t>
      </w:r>
      <w:r>
        <w:t xml:space="preserve"> </w:t>
      </w:r>
      <w:r>
        <w:t xml:space="preserve">- answer genuine complaints fast</w:t>
      </w:r>
      <w:r>
        <w:t xml:space="preserve"> </w:t>
      </w:r>
      <w:r>
        <w:t xml:space="preserve">- increase authentic positive review volume over time</w:t>
      </w:r>
      <w:r>
        <w:t xml:space="preserve"> </w:t>
      </w:r>
      <w:r>
        <w:t xml:space="preserve">- fix root causes so future reviews improve</w:t>
      </w:r>
    </w:p>
    <w:p>
      <w:pPr>
        <w:pStyle w:val="BodyText"/>
      </w:pPr>
      <w:r>
        <w:t xml:space="preserve">That is exactly the pattern seen in [CS04] [CS04].</w:t>
      </w:r>
    </w:p>
    <w:p>
      <w:r>
        <w:pict>
          <v:rect style="width:0;height:1.5pt" o:hralign="center" o:hrstd="t" o:hr="t"/>
        </w:pict>
      </w:r>
    </w:p>
    <w:bookmarkEnd w:id="51"/>
    <w:bookmarkEnd w:id="52"/>
    <w:bookmarkStart w:id="56" w:name="X28027ec8d9b705266e1b9e3ceb85c82bc5bade2"/>
    <w:p>
      <w:pPr>
        <w:pStyle w:val="Heading2"/>
      </w:pPr>
      <w:r>
        <w:t xml:space="preserve">7. Indicative budget range for crisis response and recovery programme</w:t>
      </w:r>
    </w:p>
    <w:p>
      <w:pPr>
        <w:pStyle w:val="FirstParagraph"/>
      </w:pPr>
      <w:r>
        <w:t xml:space="preserve">These are</w:t>
      </w:r>
      <w:r>
        <w:t xml:space="preserve"> </w:t>
      </w:r>
      <w:r>
        <w:rPr>
          <w:b/>
          <w:bCs/>
        </w:rPr>
        <w:t xml:space="preserve">indicative UK market ranges</w:t>
      </w:r>
      <w:r>
        <w:t xml:space="preserve">, not quotes.</w:t>
      </w:r>
    </w:p>
    <w:bookmarkStart w:id="53" w:name="first-30-days-crisis-containment"/>
    <w:p>
      <w:pPr>
        <w:pStyle w:val="Heading3"/>
      </w:pPr>
      <w:r>
        <w:t xml:space="preserve">First 30 days: crisis containment</w:t>
      </w:r>
    </w:p>
    <w:p>
      <w:pPr>
        <w:pStyle w:val="Compact"/>
        <w:numPr>
          <w:ilvl w:val="0"/>
          <w:numId w:val="1018"/>
        </w:numPr>
      </w:pPr>
      <w:r>
        <w:t xml:space="preserve">crisis PR consultancy / retained response team:</w:t>
      </w:r>
      <w:r>
        <w:t xml:space="preserve"> </w:t>
      </w:r>
      <w:r>
        <w:rPr>
          <w:b/>
          <w:bCs/>
        </w:rPr>
        <w:t xml:space="preserve">£15,000–£40,000</w:t>
      </w:r>
    </w:p>
    <w:p>
      <w:pPr>
        <w:pStyle w:val="Compact"/>
        <w:numPr>
          <w:ilvl w:val="0"/>
          <w:numId w:val="1018"/>
        </w:numPr>
      </w:pPr>
      <w:r>
        <w:t xml:space="preserve">legal counsel (regulatory + media + liability support):</w:t>
      </w:r>
      <w:r>
        <w:t xml:space="preserve"> </w:t>
      </w:r>
      <w:r>
        <w:rPr>
          <w:b/>
          <w:bCs/>
        </w:rPr>
        <w:t xml:space="preserve">£20,000–£75,000+</w:t>
      </w:r>
    </w:p>
    <w:p>
      <w:pPr>
        <w:pStyle w:val="Compact"/>
        <w:numPr>
          <w:ilvl w:val="0"/>
          <w:numId w:val="1018"/>
        </w:numPr>
      </w:pPr>
      <w:r>
        <w:t xml:space="preserve">food safety consultant / emergency audits across 12 sites:</w:t>
      </w:r>
      <w:r>
        <w:t xml:space="preserve"> </w:t>
      </w:r>
      <w:r>
        <w:rPr>
          <w:b/>
          <w:bCs/>
        </w:rPr>
        <w:t xml:space="preserve">£10,000–£35,000</w:t>
      </w:r>
    </w:p>
    <w:p>
      <w:pPr>
        <w:pStyle w:val="Compact"/>
        <w:numPr>
          <w:ilvl w:val="0"/>
          <w:numId w:val="1018"/>
        </w:numPr>
      </w:pPr>
      <w:r>
        <w:t xml:space="preserve">social listening / community management / moderation surge:</w:t>
      </w:r>
      <w:r>
        <w:t xml:space="preserve"> </w:t>
      </w:r>
      <w:r>
        <w:rPr>
          <w:b/>
          <w:bCs/>
        </w:rPr>
        <w:t xml:space="preserve">£5,000–£15,000</w:t>
      </w:r>
    </w:p>
    <w:p>
      <w:pPr>
        <w:pStyle w:val="Compact"/>
        <w:numPr>
          <w:ilvl w:val="0"/>
          <w:numId w:val="1018"/>
        </w:numPr>
      </w:pPr>
      <w:r>
        <w:t xml:space="preserve">web updates, customer helpline/form handling, content production:</w:t>
      </w:r>
      <w:r>
        <w:t xml:space="preserve"> </w:t>
      </w:r>
      <w:r>
        <w:rPr>
          <w:b/>
          <w:bCs/>
        </w:rPr>
        <w:t xml:space="preserve">£5,000–£20,000</w:t>
      </w:r>
    </w:p>
    <w:p>
      <w:pPr>
        <w:pStyle w:val="FirstParagraph"/>
      </w:pPr>
      <w:r>
        <w:rPr>
          <w:b/>
          <w:bCs/>
        </w:rPr>
        <w:t xml:space="preserve">Likely 30-day total:</w:t>
      </w:r>
      <w:r>
        <w:t xml:space="preserve"> </w:t>
      </w:r>
      <w:r>
        <w:rPr>
          <w:b/>
          <w:bCs/>
        </w:rPr>
        <w:t xml:space="preserve">£55,000–£185,000+</w:t>
      </w:r>
    </w:p>
    <w:bookmarkEnd w:id="53"/>
    <w:bookmarkStart w:id="54" w:name="month-recovery"/>
    <w:p>
      <w:pPr>
        <w:pStyle w:val="Heading3"/>
      </w:pPr>
      <w:r>
        <w:t xml:space="preserve">6–12 month recovery</w:t>
      </w:r>
    </w:p>
    <w:p>
      <w:pPr>
        <w:pStyle w:val="Compact"/>
        <w:numPr>
          <w:ilvl w:val="0"/>
          <w:numId w:val="1019"/>
        </w:numPr>
      </w:pPr>
      <w:r>
        <w:t xml:space="preserve">ongoing PR/comms support:</w:t>
      </w:r>
      <w:r>
        <w:t xml:space="preserve"> </w:t>
      </w:r>
      <w:r>
        <w:rPr>
          <w:b/>
          <w:bCs/>
        </w:rPr>
        <w:t xml:space="preserve">£3,000–£12,000 per month</w:t>
      </w:r>
    </w:p>
    <w:p>
      <w:pPr>
        <w:pStyle w:val="Compact"/>
        <w:numPr>
          <w:ilvl w:val="0"/>
          <w:numId w:val="1019"/>
        </w:numPr>
      </w:pPr>
      <w:r>
        <w:t xml:space="preserve">review management / community management:</w:t>
      </w:r>
      <w:r>
        <w:t xml:space="preserve"> </w:t>
      </w:r>
      <w:r>
        <w:rPr>
          <w:b/>
          <w:bCs/>
        </w:rPr>
        <w:t xml:space="preserve">£1,500–£6,000 per month</w:t>
      </w:r>
    </w:p>
    <w:p>
      <w:pPr>
        <w:pStyle w:val="Compact"/>
        <w:numPr>
          <w:ilvl w:val="0"/>
          <w:numId w:val="1019"/>
        </w:numPr>
      </w:pPr>
      <w:r>
        <w:t xml:space="preserve">content, photography, video, local campaigns:</w:t>
      </w:r>
      <w:r>
        <w:t xml:space="preserve"> </w:t>
      </w:r>
      <w:r>
        <w:rPr>
          <w:b/>
          <w:bCs/>
        </w:rPr>
        <w:t xml:space="preserve">£2,000–£10,000 per month</w:t>
      </w:r>
    </w:p>
    <w:p>
      <w:pPr>
        <w:pStyle w:val="Compact"/>
        <w:numPr>
          <w:ilvl w:val="0"/>
          <w:numId w:val="1019"/>
        </w:numPr>
      </w:pPr>
      <w:r>
        <w:t xml:space="preserve">periodic food-safety audits/training refresh:</w:t>
      </w:r>
      <w:r>
        <w:t xml:space="preserve"> </w:t>
      </w:r>
      <w:r>
        <w:rPr>
          <w:b/>
          <w:bCs/>
        </w:rPr>
        <w:t xml:space="preserve">£10,000–£40,000 total</w:t>
      </w:r>
    </w:p>
    <w:p>
      <w:pPr>
        <w:pStyle w:val="Compact"/>
        <w:numPr>
          <w:ilvl w:val="0"/>
          <w:numId w:val="1019"/>
        </w:numPr>
      </w:pPr>
      <w:r>
        <w:t xml:space="preserve">executive media training:</w:t>
      </w:r>
      <w:r>
        <w:t xml:space="preserve"> </w:t>
      </w:r>
      <w:r>
        <w:rPr>
          <w:b/>
          <w:bCs/>
        </w:rPr>
        <w:t xml:space="preserve">£3,000–£10,000 total</w:t>
      </w:r>
    </w:p>
    <w:p>
      <w:pPr>
        <w:pStyle w:val="FirstParagraph"/>
      </w:pPr>
      <w:r>
        <w:rPr>
          <w:b/>
          <w:bCs/>
        </w:rPr>
        <w:t xml:space="preserve">Likely 6–12 month total:</w:t>
      </w:r>
      <w:r>
        <w:t xml:space="preserve"> </w:t>
      </w:r>
      <w:r>
        <w:rPr>
          <w:b/>
          <w:bCs/>
        </w:rPr>
        <w:t xml:space="preserve">£75,000–£300,000+</w:t>
      </w:r>
    </w:p>
    <w:bookmarkEnd w:id="54"/>
    <w:bookmarkStart w:id="55" w:name="planning-assumption"/>
    <w:p>
      <w:pPr>
        <w:pStyle w:val="Heading3"/>
      </w:pPr>
      <w:r>
        <w:t xml:space="preserve">Planning assumption</w:t>
      </w:r>
    </w:p>
    <w:p>
      <w:pPr>
        <w:pStyle w:val="FirstParagraph"/>
      </w:pPr>
      <w:r>
        <w:t xml:space="preserve">For a 12-site restaurant chain with hospitalisations, local TV coverage, and national media interest, I would budget on the basis of a</w:t>
      </w:r>
      <w:r>
        <w:t xml:space="preserve"> </w:t>
      </w:r>
      <w:r>
        <w:rPr>
          <w:b/>
          <w:bCs/>
        </w:rPr>
        <w:t xml:space="preserve">serious six-figure exposure</w:t>
      </w:r>
      <w:r>
        <w:t xml:space="preserve"> </w:t>
      </w:r>
      <w:r>
        <w:t xml:space="preserve">if the business wants to respond properly.</w:t>
      </w:r>
    </w:p>
    <w:p>
      <w:r>
        <w:pict>
          <v:rect style="width:0;height:1.5pt" o:hralign="center" o:hrstd="t" o:hr="t"/>
        </w:pict>
      </w:r>
    </w:p>
    <w:bookmarkEnd w:id="55"/>
    <w:bookmarkEnd w:id="56"/>
    <w:bookmarkStart w:id="60" w:name="prioritised-action-checklist-for-today"/>
    <w:p>
      <w:pPr>
        <w:pStyle w:val="Heading2"/>
      </w:pPr>
      <w:r>
        <w:t xml:space="preserve">8. Prioritised action checklist for today</w:t>
      </w:r>
    </w:p>
    <w:bookmarkStart w:id="57" w:name="priority-1-do-in-the-next-2-hours"/>
    <w:p>
      <w:pPr>
        <w:pStyle w:val="Heading3"/>
      </w:pPr>
      <w:r>
        <w:t xml:space="preserve">Priority 1 — do in the next 2 hours</w:t>
      </w:r>
    </w:p>
    <w:p>
      <w:pPr>
        <w:pStyle w:val="Compact"/>
        <w:numPr>
          <w:ilvl w:val="0"/>
          <w:numId w:val="1020"/>
        </w:numPr>
      </w:pPr>
      <w:r>
        <w:t xml:space="preserve">Confirm crisis team and one spokesperson [H15]</w:t>
      </w:r>
    </w:p>
    <w:p>
      <w:pPr>
        <w:pStyle w:val="Compact"/>
        <w:numPr>
          <w:ilvl w:val="0"/>
          <w:numId w:val="1021"/>
        </w:numPr>
      </w:pPr>
      <w:r>
        <w:t xml:space="preserve">Instruct all staff: no media, no posting, route enquiries centrally [H15][H17]</w:t>
      </w:r>
    </w:p>
    <w:p>
      <w:pPr>
        <w:pStyle w:val="Compact"/>
        <w:numPr>
          <w:ilvl w:val="0"/>
          <w:numId w:val="1022"/>
        </w:numPr>
      </w:pPr>
      <w:r>
        <w:t xml:space="preserve">Pause all scheduled content [H17]</w:t>
      </w:r>
    </w:p>
    <w:p>
      <w:pPr>
        <w:pStyle w:val="Compact"/>
        <w:numPr>
          <w:ilvl w:val="0"/>
          <w:numId w:val="1023"/>
        </w:numPr>
      </w:pPr>
      <w:r>
        <w:t xml:space="preserve">Issue holding statement now [H16]</w:t>
      </w:r>
    </w:p>
    <w:p>
      <w:pPr>
        <w:pStyle w:val="Compact"/>
        <w:numPr>
          <w:ilvl w:val="0"/>
          <w:numId w:val="1024"/>
        </w:numPr>
      </w:pPr>
      <w:r>
        <w:t xml:space="preserve">Close Manchester site pending investigation</w:t>
      </w:r>
    </w:p>
    <w:p>
      <w:pPr>
        <w:pStyle w:val="Compact"/>
        <w:numPr>
          <w:ilvl w:val="0"/>
          <w:numId w:val="1025"/>
        </w:numPr>
      </w:pPr>
      <w:r>
        <w:t xml:space="preserve">Preserve records, logs, CCTV, supplier data</w:t>
      </w:r>
    </w:p>
    <w:p>
      <w:pPr>
        <w:pStyle w:val="Compact"/>
        <w:numPr>
          <w:ilvl w:val="0"/>
          <w:numId w:val="1026"/>
        </w:numPr>
      </w:pPr>
      <w:r>
        <w:t xml:space="preserve">Open incident log and decision log</w:t>
      </w:r>
    </w:p>
    <w:p>
      <w:pPr>
        <w:pStyle w:val="Compact"/>
        <w:numPr>
          <w:ilvl w:val="0"/>
          <w:numId w:val="1027"/>
        </w:numPr>
      </w:pPr>
      <w:r>
        <w:t xml:space="preserve">Notify insurer and legal counsel</w:t>
      </w:r>
    </w:p>
    <w:p>
      <w:pPr>
        <w:pStyle w:val="Compact"/>
        <w:numPr>
          <w:ilvl w:val="0"/>
          <w:numId w:val="1028"/>
        </w:numPr>
      </w:pPr>
      <w:r>
        <w:t xml:space="preserve">Prepare press inbox and response protocol</w:t>
      </w:r>
    </w:p>
    <w:bookmarkEnd w:id="57"/>
    <w:bookmarkStart w:id="58" w:name="priority-2-do-today"/>
    <w:p>
      <w:pPr>
        <w:pStyle w:val="Heading3"/>
      </w:pPr>
      <w:r>
        <w:t xml:space="preserve">Priority 2 — do today</w:t>
      </w:r>
    </w:p>
    <w:p>
      <w:pPr>
        <w:pStyle w:val="Compact"/>
        <w:numPr>
          <w:ilvl w:val="0"/>
          <w:numId w:val="1029"/>
        </w:numPr>
      </w:pPr>
      <w:r>
        <w:t xml:space="preserve">Build a verified factsheet updated every 2–3 hours</w:t>
      </w:r>
    </w:p>
    <w:p>
      <w:pPr>
        <w:pStyle w:val="Compact"/>
        <w:numPr>
          <w:ilvl w:val="0"/>
          <w:numId w:val="1030"/>
        </w:numPr>
      </w:pPr>
      <w:r>
        <w:t xml:space="preserve">Contact affected customers/families where appropriate</w:t>
      </w:r>
    </w:p>
    <w:p>
      <w:pPr>
        <w:pStyle w:val="Compact"/>
        <w:numPr>
          <w:ilvl w:val="0"/>
          <w:numId w:val="1031"/>
        </w:numPr>
      </w:pPr>
      <w:r>
        <w:t xml:space="preserve">Launch customer support email/phone/form</w:t>
      </w:r>
    </w:p>
    <w:p>
      <w:pPr>
        <w:pStyle w:val="Compact"/>
        <w:numPr>
          <w:ilvl w:val="0"/>
          <w:numId w:val="1032"/>
        </w:numPr>
      </w:pPr>
      <w:r>
        <w:t xml:space="preserve">Start precautionary audits across all 12 sites</w:t>
      </w:r>
    </w:p>
    <w:p>
      <w:pPr>
        <w:pStyle w:val="Compact"/>
        <w:numPr>
          <w:ilvl w:val="0"/>
          <w:numId w:val="1033"/>
        </w:numPr>
      </w:pPr>
      <w:r>
        <w:t xml:space="preserve">Publish pinned social statement on all major channels [H17]</w:t>
      </w:r>
    </w:p>
    <w:p>
      <w:pPr>
        <w:pStyle w:val="Compact"/>
        <w:numPr>
          <w:ilvl w:val="0"/>
          <w:numId w:val="1034"/>
        </w:numPr>
      </w:pPr>
      <w:r>
        <w:t xml:space="preserve">Brief all branch managers with approved wording</w:t>
      </w:r>
    </w:p>
    <w:p>
      <w:pPr>
        <w:pStyle w:val="Compact"/>
        <w:numPr>
          <w:ilvl w:val="0"/>
          <w:numId w:val="1035"/>
        </w:numPr>
      </w:pPr>
      <w:r>
        <w:t xml:space="preserve">Decline live interviews; offer written statement</w:t>
      </w:r>
    </w:p>
    <w:p>
      <w:pPr>
        <w:pStyle w:val="Compact"/>
        <w:numPr>
          <w:ilvl w:val="0"/>
          <w:numId w:val="1036"/>
        </w:numPr>
      </w:pPr>
      <w:r>
        <w:t xml:space="preserve">Start Trustpilot review triage and response workflow</w:t>
      </w:r>
    </w:p>
    <w:bookmarkEnd w:id="58"/>
    <w:bookmarkStart w:id="59" w:name="priority-3-by-end-of-day"/>
    <w:p>
      <w:pPr>
        <w:pStyle w:val="Heading3"/>
      </w:pPr>
      <w:r>
        <w:t xml:space="preserve">Priority 3 — by end of day</w:t>
      </w:r>
    </w:p>
    <w:p>
      <w:pPr>
        <w:pStyle w:val="Compact"/>
        <w:numPr>
          <w:ilvl w:val="0"/>
          <w:numId w:val="1037"/>
        </w:numPr>
      </w:pPr>
      <w:r>
        <w:t xml:space="preserve">Approve CEO Q&amp;A and hostile-question prep</w:t>
      </w:r>
    </w:p>
    <w:p>
      <w:pPr>
        <w:pStyle w:val="Compact"/>
        <w:numPr>
          <w:ilvl w:val="0"/>
          <w:numId w:val="1038"/>
        </w:numPr>
      </w:pPr>
      <w:r>
        <w:t xml:space="preserve">Prepare internal all-staff memo</w:t>
      </w:r>
    </w:p>
    <w:p>
      <w:pPr>
        <w:pStyle w:val="Compact"/>
        <w:numPr>
          <w:ilvl w:val="0"/>
          <w:numId w:val="1039"/>
        </w:numPr>
      </w:pPr>
      <w:r>
        <w:t xml:space="preserve">Prepare customer FAQ</w:t>
      </w:r>
    </w:p>
    <w:p>
      <w:pPr>
        <w:pStyle w:val="Compact"/>
        <w:numPr>
          <w:ilvl w:val="0"/>
          <w:numId w:val="1040"/>
        </w:numPr>
      </w:pPr>
      <w:r>
        <w:t xml:space="preserve">Set next public update time</w:t>
      </w:r>
    </w:p>
    <w:p>
      <w:pPr>
        <w:pStyle w:val="Compact"/>
        <w:numPr>
          <w:ilvl w:val="0"/>
          <w:numId w:val="1041"/>
        </w:numPr>
      </w:pPr>
      <w:r>
        <w:t xml:space="preserve">Decide escalation triggers for further closures / recalls / group statement</w:t>
      </w:r>
    </w:p>
    <w:p>
      <w:pPr>
        <w:pStyle w:val="Compact"/>
        <w:numPr>
          <w:ilvl w:val="0"/>
          <w:numId w:val="1042"/>
        </w:numPr>
      </w:pPr>
      <w:r>
        <w:t xml:space="preserve">Commission independent food-safety expert review</w:t>
      </w:r>
    </w:p>
    <w:p>
      <w:r>
        <w:pict>
          <v:rect style="width:0;height:1.5pt" o:hralign="center" o:hrstd="t" o:hr="t"/>
        </w:pict>
      </w:r>
    </w:p>
    <w:bookmarkEnd w:id="59"/>
    <w:bookmarkEnd w:id="60"/>
    <w:bookmarkStart w:id="61" w:name="recommended-operating-framework"/>
    <w:p>
      <w:pPr>
        <w:pStyle w:val="Heading2"/>
      </w:pPr>
      <w:r>
        <w:t xml:space="preserve">Recommended operating framework</w:t>
      </w:r>
    </w:p>
    <w:p>
      <w:pPr>
        <w:pStyle w:val="FirstParagraph"/>
      </w:pPr>
      <w:r>
        <w:t xml:space="preserve">Use a blend of:</w:t>
      </w:r>
      <w:r>
        <w:t xml:space="preserve"> </w:t>
      </w:r>
      <w:r>
        <w:t xml:space="preserve">-</w:t>
      </w:r>
      <w:r>
        <w:t xml:space="preserve"> </w:t>
      </w:r>
      <w:r>
        <w:rPr>
          <w:b/>
          <w:bCs/>
        </w:rPr>
        <w:t xml:space="preserve">[H15]/[H16]/[H17]</w:t>
      </w:r>
      <w:r>
        <w:t xml:space="preserve"> </w:t>
      </w:r>
      <w:r>
        <w:t xml:space="preserve">for immediate execution</w:t>
      </w:r>
      <w:r>
        <w:t xml:space="preserve"> </w:t>
      </w:r>
      <w:r>
        <w:t xml:space="preserve">-</w:t>
      </w:r>
      <w:r>
        <w:t xml:space="preserve"> </w:t>
      </w:r>
      <w:r>
        <w:rPr>
          <w:b/>
          <w:bCs/>
        </w:rPr>
        <w:t xml:space="preserve">[S07]</w:t>
      </w:r>
      <w:r>
        <w:t xml:space="preserve"> </w:t>
      </w:r>
      <w:r>
        <w:t xml:space="preserve">for crisis-stage sequencing</w:t>
      </w:r>
      <w:r>
        <w:t xml:space="preserve"> </w:t>
      </w:r>
      <w:r>
        <w:t xml:space="preserve">-</w:t>
      </w:r>
      <w:r>
        <w:t xml:space="preserve"> </w:t>
      </w:r>
      <w:r>
        <w:rPr>
          <w:b/>
          <w:bCs/>
        </w:rPr>
        <w:t xml:space="preserve">[CS11]</w:t>
      </w:r>
      <w:r>
        <w:t xml:space="preserve"> </w:t>
      </w:r>
      <w:r>
        <w:t xml:space="preserve">for the 12-month recovery model</w:t>
      </w:r>
      <w:r>
        <w:t xml:space="preserve"> </w:t>
      </w:r>
      <w:r>
        <w:t xml:space="preserve">-</w:t>
      </w:r>
      <w:r>
        <w:t xml:space="preserve"> </w:t>
      </w:r>
      <w:r>
        <w:rPr>
          <w:b/>
          <w:bCs/>
        </w:rPr>
        <w:t xml:space="preserve">[CS04]</w:t>
      </w:r>
      <w:r>
        <w:t xml:space="preserve"> </w:t>
      </w:r>
      <w:r>
        <w:t xml:space="preserve">for review-platform and customer-care rebuilding</w:t>
      </w:r>
    </w:p>
    <w:p>
      <w:pPr>
        <w:pStyle w:val="BodyText"/>
      </w:pPr>
      <w:r>
        <w:t xml:space="preserve">From broader best practice, this crisis should be treated as a</w:t>
      </w:r>
      <w:r>
        <w:t xml:space="preserve"> </w:t>
      </w:r>
      <w:r>
        <w:rPr>
          <w:b/>
          <w:bCs/>
        </w:rPr>
        <w:t xml:space="preserve">preventable/high-responsibility event in SCCT terms</w:t>
      </w:r>
      <w:r>
        <w:t xml:space="preserve">, which means a low-empathy or defensive stance will worsen reputational damage; the correct posture is</w:t>
      </w:r>
      <w:r>
        <w:t xml:space="preserve"> </w:t>
      </w:r>
      <w:r>
        <w:rPr>
          <w:b/>
          <w:bCs/>
        </w:rPr>
        <w:t xml:space="preserve">empathy + action + accountability + evidence of change</w:t>
      </w:r>
      <w:r>
        <w:t xml:space="preserve">. CERC supports the same logic: be early, credible, empathetic, action-oriented, and respectful. (</w:t>
      </w:r>
      <w:hyperlink r:id="rId17">
        <w:r>
          <w:rPr>
            <w:rStyle w:val="Hyperlink"/>
          </w:rPr>
          <w:t xml:space="preserve">cdc.gov</w:t>
        </w:r>
      </w:hyperlink>
      <w:r>
        <w:t xml:space="preserve">)</w:t>
      </w:r>
    </w:p>
    <w:p>
      <w:r>
        <w:pict>
          <v:rect style="width:0;height:1.5pt" o:hralign="center" o:hrstd="t" o:hr="t"/>
        </w:pict>
      </w:r>
    </w:p>
    <w:bookmarkEnd w:id="61"/>
    <w:bookmarkStart w:id="62" w:name="bottom-line-for-the-ceo"/>
    <w:p>
      <w:pPr>
        <w:pStyle w:val="Heading2"/>
      </w:pPr>
      <w:r>
        <w:t xml:space="preserve">Bottom line for the CEO</w:t>
      </w:r>
    </w:p>
    <w:p>
      <w:pPr>
        <w:pStyle w:val="FirstParagraph"/>
      </w:pPr>
      <w:r>
        <w:t xml:space="preserve">For the next 24 hours, your job is not to “win the argument.” It is to show that:</w:t>
      </w:r>
      <w:r>
        <w:t xml:space="preserve"> </w:t>
      </w:r>
      <w:r>
        <w:t xml:space="preserve">1. you care about the people affected,</w:t>
      </w:r>
      <w:r>
        <w:br/>
      </w:r>
      <w:r>
        <w:t xml:space="preserve">2. you are in control of the response,</w:t>
      </w:r>
      <w:r>
        <w:br/>
      </w:r>
      <w:r>
        <w:t xml:space="preserve">3. you are cooperating fully, and</w:t>
      </w:r>
      <w:r>
        <w:br/>
      </w:r>
      <w:r>
        <w:t xml:space="preserve">4. you are taking visible precautionary action.</w:t>
      </w:r>
    </w:p>
    <w:p>
      <w:pPr>
        <w:pStyle w:val="BodyText"/>
      </w:pPr>
      <w:r>
        <w:t xml:space="preserve">That is the bridge from chaos to recovery. The internal precedent is encouraging: severe food-safety crises can be contained and then rebuilt over 12 months when the company is structured, disciplined, and consistent [CS11][S07].</w:t>
      </w:r>
    </w:p>
    <w:p>
      <w:r>
        <w:pict>
          <v:rect style="width:0;height:1.5pt" o:hralign="center" o:hrstd="t" o:hr="t"/>
        </w:pic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https://legal.trustpilot.com/for-reviewers/guidelines-for-businesses?utm_source=chatgpt.com" TargetMode="External" /><Relationship Type="http://schemas.openxmlformats.org/officeDocument/2006/relationships/hyperlink" Id="rId17" Target="https://www.cdc.gov/cerc/php/cerc-manual/index.html?utm_source=chatgpt.com" TargetMode="External" /><Relationship Type="http://schemas.openxmlformats.org/officeDocument/2006/relationships/hyperlink" Id="rId14" Target="https://www.food.gov.uk/business-guidance/business-guidance/food-safety-management-for-businesses?utm_source=chatgpt.com" TargetMode="External" /><Relationship Type="http://schemas.openxmlformats.org/officeDocument/2006/relationships/hyperlink" Id="rId12" Target="https://www.food.gov.uk/food-safety-and-hygiene/food-poisoning?utm_source=chatgpt.com" TargetMode="External" /><Relationship Type="http://schemas.openxmlformats.org/officeDocument/2006/relationships/hyperlink" Id="rId49" Target="https://www.gov.uk/government/publications/fake-reviews-cma208?utm_source=chatgpt.com" TargetMode="External" /></Relationships>
</file>

<file path=word/_rels/footnotes.xml.rels><?xml version="1.0" encoding="UTF-8"?><Relationships xmlns="http://schemas.openxmlformats.org/package/2006/relationships"><Relationship Type="http://schemas.openxmlformats.org/officeDocument/2006/relationships/hyperlink" Id="rId46" Target="https://legal.trustpilot.com/for-reviewers/guidelines-for-businesses?utm_source=chatgpt.com" TargetMode="External" /><Relationship Type="http://schemas.openxmlformats.org/officeDocument/2006/relationships/hyperlink" Id="rId17" Target="https://www.cdc.gov/cerc/php/cerc-manual/index.html?utm_source=chatgpt.com" TargetMode="External" /><Relationship Type="http://schemas.openxmlformats.org/officeDocument/2006/relationships/hyperlink" Id="rId14" Target="https://www.food.gov.uk/business-guidance/business-guidance/food-safety-management-for-businesses?utm_source=chatgpt.com" TargetMode="External" /><Relationship Type="http://schemas.openxmlformats.org/officeDocument/2006/relationships/hyperlink" Id="rId12" Target="https://www.food.gov.uk/food-safety-and-hygiene/food-poisoning?utm_source=chatgpt.com" TargetMode="External" /><Relationship Type="http://schemas.openxmlformats.org/officeDocument/2006/relationships/hyperlink" Id="rId49" Target="https://www.gov.uk/government/publications/fake-reviews-cma208?utm_source=chatgp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2026-04-04T23:54:26Z</dcterms:created>
  <dcterms:modified xsi:type="dcterms:W3CDTF">2026-04-04T23:54:26Z</dcterms:modified>
</cp:coreProperties>
</file>

<file path=docProps/custom.xml><?xml version="1.0" encoding="utf-8"?>
<Properties xmlns="http://schemas.openxmlformats.org/officeDocument/2006/custom-properties" xmlns:vt="http://schemas.openxmlformats.org/officeDocument/2006/docPropsVTypes"/>
</file>