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26b32f690b63bdae59754b8277eb60528b7a45c"/>
    <w:p>
      <w:pPr>
        <w:pStyle w:val="Heading1"/>
      </w:pPr>
      <w:r>
        <w:t xml:space="preserve">Automated Evaluation: Baseline vs Archive-Assisted Responses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t xml:space="preserve">GPT 5.3 Thinking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2026-04-04</w:t>
      </w:r>
      <w:r>
        <w:t xml:space="preserve"> </w:t>
      </w:r>
      <w:r>
        <w:rPr>
          <w:b/>
          <w:bCs/>
        </w:rPr>
        <w:t xml:space="preserve">Evaluator:</w:t>
      </w:r>
      <w:r>
        <w:t xml:space="preserve"> </w:t>
      </w:r>
      <w:r>
        <w:t xml:space="preserve">Claude (automated analysis)</w:t>
      </w:r>
      <w:r>
        <w:t xml:space="preserve"> </w:t>
      </w:r>
      <w:r>
        <w:rPr>
          <w:b/>
          <w:bCs/>
        </w:rPr>
        <w:t xml:space="preserve">Evaluation method:</w:t>
      </w:r>
      <w:r>
        <w:t xml:space="preserve"> </w:t>
      </w:r>
      <w:r>
        <w:t xml:space="preserve">Side-by-side comparison of matched prompt pairs across 6 criteria</w:t>
      </w:r>
    </w:p>
    <w:p>
      <w:r>
        <w:pict>
          <v:rect style="width:0;height:1.5pt" o:hralign="center" o:hrstd="t" o:hr="t"/>
        </w:pict>
      </w:r>
    </w:p>
    <w:bookmarkStart w:id="12" w:name="scoring-summary"/>
    <w:p>
      <w:pPr>
        <w:pStyle w:val="Heading2"/>
      </w:pPr>
      <w:r>
        <w:t xml:space="preserve">Scoring Summary</w:t>
      </w:r>
    </w:p>
    <w:bookmarkStart w:id="9" w:name="X08abf47c3423ad3c791ac46174fcee87309f95d"/>
    <w:p>
      <w:pPr>
        <w:pStyle w:val="Heading3"/>
      </w:pPr>
      <w:r>
        <w:t xml:space="preserve">Scenario 1: UK Executive with Employment Tribunal Press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A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B (Assisted)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Awareness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+1.3</w:t>
            </w:r>
          </w:p>
        </w:tc>
      </w:tr>
    </w:tbl>
    <w:bookmarkEnd w:id="9"/>
    <w:bookmarkStart w:id="10" w:name="Xc65f50ef7abd742f254bb955161890640128f32"/>
    <w:p>
      <w:pPr>
        <w:pStyle w:val="Heading3"/>
      </w:pPr>
      <w:r>
        <w:t xml:space="preserve">Scenario 2: Restaurant Chain Food Safety Crisis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A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B (Assisted)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Awareness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+0.8</w:t>
            </w:r>
          </w:p>
        </w:tc>
      </w:tr>
    </w:tbl>
    <w:bookmarkEnd w:id="10"/>
    <w:bookmarkStart w:id="11" w:name="X823ad04364ab36550ca38f8a48618bb6cab9bf4"/>
    <w:p>
      <w:pPr>
        <w:pStyle w:val="Heading3"/>
      </w:pPr>
      <w:r>
        <w:t xml:space="preserve">Scenario 3: Debt Collection Company Forum/Review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A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B (Assisted)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Awareness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+0.8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aggregate-results"/>
    <w:p>
      <w:pPr>
        <w:pStyle w:val="Heading2"/>
      </w:pPr>
      <w:r>
        <w:t xml:space="preserve">Aggregate Results</w:t>
      </w:r>
    </w:p>
    <w:bookmarkStart w:id="13" w:name="overall-averages"/>
    <w:p>
      <w:pPr>
        <w:pStyle w:val="Heading3"/>
      </w:pPr>
      <w:r>
        <w:t xml:space="preserve">Overall Averages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A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B Avg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Awareness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Average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+1.0</w:t>
            </w:r>
          </w:p>
        </w:tc>
      </w:tr>
    </w:tbl>
    <w:bookmarkEnd w:id="13"/>
    <w:bookmarkStart w:id="14" w:name="preference-rate"/>
    <w:p>
      <w:pPr>
        <w:pStyle w:val="Heading3"/>
      </w:pPr>
      <w:r>
        <w:t xml:space="preserve">Preference Rate</w:t>
      </w:r>
    </w:p>
    <w:p>
      <w:pPr>
        <w:pStyle w:val="Compact"/>
        <w:numPr>
          <w:ilvl w:val="0"/>
          <w:numId w:val="1001"/>
        </w:numPr>
      </w:pPr>
      <w:r>
        <w:t xml:space="preserve">Archive-assisted preferred:</w:t>
      </w:r>
      <w:r>
        <w:t xml:space="preserve"> </w:t>
      </w:r>
      <w:r>
        <w:rPr>
          <w:b/>
          <w:bCs/>
        </w:rPr>
        <w:t xml:space="preserve">3/3 scenarios (100%)</w:t>
      </w:r>
    </w:p>
    <w:p>
      <w:pPr>
        <w:pStyle w:val="Compact"/>
        <w:numPr>
          <w:ilvl w:val="0"/>
          <w:numId w:val="1001"/>
        </w:numPr>
      </w:pPr>
      <w:r>
        <w:t xml:space="preserve">Baseline preferred:</w:t>
      </w:r>
      <w:r>
        <w:t xml:space="preserve"> </w:t>
      </w:r>
      <w:r>
        <w:rPr>
          <w:b/>
          <w:bCs/>
        </w:rPr>
        <w:t xml:space="preserve">0/3 scenarios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a736c37336ec97cf45c129f52547bcf2f59e022"/>
    <w:p>
      <w:pPr>
        <w:pStyle w:val="Heading2"/>
      </w:pPr>
      <w:r>
        <w:t xml:space="preserve">Success Criteria Assessment (from AGENTS.md)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181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 for archive-assisted</w:t>
            </w:r>
          </w:p>
        </w:tc>
        <w:tc>
          <w:tcPr/>
          <w:p>
            <w:pPr>
              <w:pStyle w:val="Compact"/>
            </w:pPr>
            <w:r>
              <w:t xml:space="preserve">&gt;=70%</w:t>
            </w:r>
          </w:p>
        </w:tc>
        <w:tc>
          <w:tcPr/>
          <w:p>
            <w:pPr>
              <w:pStyle w:val="Compact"/>
            </w:pPr>
            <w:r>
              <w:t xml:space="preserve">100% (3/3)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groundedness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+2.0 average lift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 actionability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+0.3 average lift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(marginal)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unsupported claims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See hallucination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34" w:name="detailed-analysis-by-scenario"/>
    <w:p>
      <w:pPr>
        <w:pStyle w:val="Heading2"/>
      </w:pPr>
      <w:r>
        <w:t xml:space="preserve">Detailed Analysis by Scenario</w:t>
      </w:r>
    </w:p>
    <w:bookmarkStart w:id="22" w:name="X805e7f576ec562f945168c0b1e285b041eaf40b"/>
    <w:p>
      <w:pPr>
        <w:pStyle w:val="Heading3"/>
      </w:pPr>
      <w:r>
        <w:t xml:space="preserve">Scenario 1: UK Executive with Employment Tribunal Press Coverage</w:t>
      </w:r>
    </w:p>
    <w:bookmarkStart w:id="17" w:name="groundedness-2"/>
    <w:p>
      <w:pPr>
        <w:pStyle w:val="Heading4"/>
      </w:pPr>
      <w:r>
        <w:t xml:space="preserve">Groundedness (+2)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Prompt A</w:t>
            </w:r>
          </w:p>
        </w:tc>
        <w:tc>
          <w:tcPr/>
          <w:p>
            <w:pPr>
              <w:pStyle w:val="Compact"/>
            </w:pPr>
            <w:r>
              <w:t xml:space="preserve">Prompt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study citations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CS02 cited 15+ times with specific metrics (16 articles, 20 images, 13/20 negative start, 4-month timeline)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RTBF success rates</w:t>
            </w:r>
          </w:p>
        </w:tc>
        <w:tc>
          <w:tcPr/>
          <w:p>
            <w:pPr>
              <w:pStyle w:val="Compact"/>
            </w:pPr>
            <w:r>
              <w:t xml:space="preserve">No statistics</w:t>
            </w:r>
          </w:p>
        </w:tc>
        <w:tc>
          <w:tcPr/>
          <w:p>
            <w:pPr>
              <w:pStyle w:val="Compact"/>
            </w:pPr>
            <w:r>
              <w:t xml:space="preserve">~29% overall, lower for news sites — sourced from [H01]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removal precedent</w:t>
            </w:r>
          </w:p>
        </w:tc>
        <w:tc>
          <w:tcPr/>
          <w:p>
            <w:pPr>
              <w:pStyle w:val="Compact"/>
            </w:pPr>
            <w:r>
              <w:t xml:space="preserve">Called it</w:t>
            </w:r>
            <w:r>
              <w:t xml:space="preserve"> </w:t>
            </w:r>
            <w:r>
              <w:t xml:space="preserve">“highest ROI”</w:t>
            </w:r>
            <w:r>
              <w:t xml:space="preserve"> </w:t>
            </w:r>
            <w:r>
              <w:t xml:space="preserve">with no evidence</w:t>
            </w:r>
          </w:p>
        </w:tc>
        <w:tc>
          <w:tcPr/>
          <w:p>
            <w:pPr>
              <w:pStyle w:val="Compact"/>
            </w:pPr>
            <w:r>
              <w:t xml:space="preserve">Cited CS02’s 20/20 image removal as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basis</w:t>
            </w:r>
          </w:p>
        </w:tc>
        <w:tc>
          <w:tcPr/>
          <w:p>
            <w:pPr>
              <w:pStyle w:val="Compact"/>
            </w:pPr>
            <w:r>
              <w:t xml:space="preserve">Generic 12-18 month estimate</w:t>
            </w:r>
          </w:p>
        </w:tc>
        <w:tc>
          <w:tcPr/>
          <w:p>
            <w:pPr>
              <w:pStyle w:val="Compact"/>
            </w:pPr>
            <w:r>
              <w:t xml:space="preserve">4-month benchmark from CS02 with caveats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citations</w:t>
            </w:r>
          </w:p>
        </w:tc>
        <w:tc>
          <w:tcPr/>
          <w:p>
            <w:pPr>
              <w:pStyle w:val="Compact"/>
            </w:pPr>
            <w:r>
              <w:t xml:space="preserve">External URLs only</w:t>
            </w:r>
          </w:p>
        </w:tc>
        <w:tc>
          <w:tcPr/>
          <w:p>
            <w:pPr>
              <w:pStyle w:val="Compact"/>
            </w:pPr>
            <w:r>
              <w:t xml:space="preserve">Bracketed [CS02], [H01], [H02], [A01], [S01], [H08] throughout</w:t>
            </w:r>
          </w:p>
        </w:tc>
      </w:tr>
    </w:tbl>
    <w:bookmarkEnd w:id="17"/>
    <w:bookmarkStart w:id="18" w:name="actionability-1"/>
    <w:p>
      <w:pPr>
        <w:pStyle w:val="Heading4"/>
      </w:pPr>
      <w:r>
        <w:t xml:space="preserve">Actionability (+1)</w:t>
      </w:r>
    </w:p>
    <w:p>
      <w:pPr>
        <w:pStyle w:val="FirstParagraph"/>
      </w:pPr>
      <w:r>
        <w:t xml:space="preserve">Both provided strong templates (RTBF, publisher letters, IPSO complaints, image removal). Key difference:</w:t>
      </w:r>
      <w:r>
        <w:t xml:space="preserve"> </w:t>
      </w:r>
      <w:r>
        <w:rPr>
          <w:b/>
          <w:bCs/>
        </w:rPr>
        <w:t xml:space="preserve">Prompt B included an RTBF appeal/resubmission template</w:t>
      </w:r>
      <w:r>
        <w:t xml:space="preserve"> </w:t>
      </w:r>
      <w:r>
        <w:t xml:space="preserve">from [H02], while Prompt A had no rejection recovery strategy. Prompt B also referenced submitting via personal email rather than agent email to improve success rates [H02].</w:t>
      </w:r>
    </w:p>
    <w:bookmarkEnd w:id="18"/>
    <w:bookmarkStart w:id="19" w:name="risk-awareness-2"/>
    <w:p>
      <w:pPr>
        <w:pStyle w:val="Heading4"/>
      </w:pPr>
      <w:r>
        <w:t xml:space="preserve">Risk Awareness (+2)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0"/>
        <w:gridCol w:w="24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Factor</w:t>
            </w:r>
          </w:p>
        </w:tc>
        <w:tc>
          <w:tcPr/>
          <w:p>
            <w:pPr>
              <w:pStyle w:val="Compact"/>
            </w:pPr>
            <w:r>
              <w:t xml:space="preserve">Prompt A</w:t>
            </w:r>
          </w:p>
        </w:tc>
        <w:tc>
          <w:tcPr/>
          <w:p>
            <w:pPr>
              <w:pStyle w:val="Compact"/>
            </w:pPr>
            <w:r>
              <w:t xml:space="preserve">Prompt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Streisand effect</w:t>
            </w:r>
          </w:p>
        </w:tc>
        <w:tc>
          <w:tcPr/>
          <w:p>
            <w:pPr>
              <w:pStyle w:val="Compac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</w:pPr>
            <w:r>
              <w:t xml:space="preserve">Explicitly warned, citing [S01] and [A01]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RTBF territorial limits</w:t>
            </w:r>
          </w:p>
        </w:tc>
        <w:tc>
          <w:tcPr/>
          <w:p>
            <w:pPr>
              <w:pStyle w:val="Compac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</w:pPr>
            <w:r>
              <w:t xml:space="preserve">Cited Google v CNIL — delisting not worldwide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Journalism exemptions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  <w:tc>
          <w:tcPr/>
          <w:p>
            <w:pPr>
              <w:pStyle w:val="Compact"/>
            </w:pPr>
            <w:r>
              <w:t xml:space="preserve">Covered with more nuance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figure challenge</w:t>
            </w:r>
          </w:p>
        </w:tc>
        <w:tc>
          <w:tcPr/>
          <w:p>
            <w:pPr>
              <w:pStyle w:val="Compact"/>
            </w:pPr>
            <w:r>
              <w:t xml:space="preserve">Mentioned</w:t>
            </w:r>
          </w:p>
        </w:tc>
        <w:tc>
          <w:tcPr/>
          <w:p>
            <w:pPr>
              <w:pStyle w:val="Compact"/>
            </w:pPr>
            <w:r>
              <w:t xml:space="preserve">Mentioned with CS02 precedent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expectations</w:t>
            </w:r>
          </w:p>
        </w:tc>
        <w:tc>
          <w:tcPr/>
          <w:p>
            <w:pPr>
              <w:pStyle w:val="Compact"/>
            </w:pPr>
            <w:r>
              <w:t xml:space="preserve">“Total disappearance is not”</w:t>
            </w:r>
          </w:p>
        </w:tc>
        <w:tc>
          <w:tcPr/>
          <w:p>
            <w:pPr>
              <w:pStyle w:val="Compact"/>
            </w:pPr>
            <w:r>
              <w:t xml:space="preserve">“I would not promise total deletion”</w:t>
            </w:r>
            <w:r>
              <w:t xml:space="preserve"> </w:t>
            </w:r>
            <w:r>
              <w:t xml:space="preserve">— backed by CS02 evidence</w:t>
            </w:r>
          </w:p>
        </w:tc>
      </w:tr>
    </w:tbl>
    <w:bookmarkEnd w:id="19"/>
    <w:bookmarkStart w:id="20" w:name="trust-2"/>
    <w:p>
      <w:pPr>
        <w:pStyle w:val="Heading4"/>
      </w:pPr>
      <w:r>
        <w:t xml:space="preserve">Trust (+2)</w:t>
      </w:r>
    </w:p>
    <w:p>
      <w:pPr>
        <w:pStyle w:val="FirstParagraph"/>
      </w:pPr>
      <w:r>
        <w:t xml:space="preserve">Prompt A reads as competent generic advice. Prompt B reads as advice from a firm that has done this exact thing before — CS02 is cited as a directly analogous case with verified outcomes, the</w:t>
      </w:r>
      <w:r>
        <w:t xml:space="preserve"> </w:t>
      </w:r>
      <w:r>
        <w:t xml:space="preserve">“weekly drumbeat”</w:t>
      </w:r>
      <w:r>
        <w:t xml:space="preserve"> </w:t>
      </w:r>
      <w:r>
        <w:t xml:space="preserve">execution model is credited from the client testimonial, and every recommendation links to either internal evidence or external legal authority. A client reading Prompt B would see documented proof that the strategy works.</w:t>
      </w:r>
    </w:p>
    <w:bookmarkEnd w:id="20"/>
    <w:bookmarkStart w:id="21" w:name="ipso-test-h08-organic-surfacing"/>
    <w:p>
      <w:pPr>
        <w:pStyle w:val="Heading4"/>
      </w:pPr>
      <w:r>
        <w:t xml:space="preserve">IPSO Test (H08 organic surfacing)</w:t>
      </w:r>
    </w:p>
    <w:p>
      <w:pPr>
        <w:pStyle w:val="FirstParagraph"/>
      </w:pPr>
      <w:r>
        <w:t xml:space="preserve">Prompt A mentioned IPSO in passing (1 paragraph). Prompt B — with H08 attached — produced a full section with per-outlet breakdowns (Daily Mail = IPSO, BBC = own framework, Guardian = readers’ editor route), specific Editors’ Code clauses (Clause 1 Accuracy, Clause 2 Privacy), a complaint template, and caveats about IPSO’s limitations.</w:t>
      </w:r>
      <w:r>
        <w:t xml:space="preserve"> </w:t>
      </w:r>
      <w:r>
        <w:rPr>
          <w:b/>
          <w:bCs/>
        </w:rPr>
        <w:t xml:space="preserve">The H08 addition worked as intended.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8eda6c133992b75f61d249ae062c8a8e77045c9"/>
    <w:p>
      <w:pPr>
        <w:pStyle w:val="Heading3"/>
      </w:pPr>
      <w:r>
        <w:t xml:space="preserve">Scenario 2: Restaurant Chain Food Safety Crisis</w:t>
      </w:r>
    </w:p>
    <w:bookmarkStart w:id="23" w:name="groundedness-2-1"/>
    <w:p>
      <w:pPr>
        <w:pStyle w:val="Heading4"/>
      </w:pPr>
      <w:r>
        <w:t xml:space="preserve">Groundedness (+2)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Prompt A</w:t>
            </w:r>
          </w:p>
        </w:tc>
        <w:tc>
          <w:tcPr/>
          <w:p>
            <w:pPr>
              <w:pStyle w:val="Compact"/>
            </w:pPr>
            <w:r>
              <w:t xml:space="preserve">Prompt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 case study</w:t>
            </w:r>
          </w:p>
        </w:tc>
        <w:tc>
          <w:tcPr/>
          <w:p>
            <w:pPr>
              <w:pStyle w:val="Compact"/>
            </w:pPr>
            <w:r>
              <w:t xml:space="preserve">None — relied on CDC CERC framework (generic)</w:t>
            </w:r>
          </w:p>
        </w:tc>
        <w:tc>
          <w:tcPr/>
          <w:p>
            <w:pPr>
              <w:pStyle w:val="Compact"/>
            </w:pPr>
            <w:r>
              <w:t xml:space="preserve">CS11 (Coral Sea food poisoning) cited throughout with recovery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recovery data</w:t>
            </w:r>
          </w:p>
        </w:tc>
        <w:tc>
          <w:tcPr/>
          <w:p>
            <w:pPr>
              <w:pStyle w:val="Compact"/>
            </w:pPr>
            <w:r>
              <w:t xml:space="preserve">No metrics</w:t>
            </w:r>
          </w:p>
        </w:tc>
        <w:tc>
          <w:tcPr/>
          <w:p>
            <w:pPr>
              <w:pStyle w:val="Compact"/>
            </w:pPr>
            <w:r>
              <w:t xml:space="preserve">Facebook +352.5%, Twitter +345%, YouTube +95.9%, Instagram +383.3% from [CS11]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recovery precedent</w:t>
            </w:r>
          </w:p>
        </w:tc>
        <w:tc>
          <w:tcPr/>
          <w:p>
            <w:pPr>
              <w:pStyle w:val="Compact"/>
            </w:pPr>
            <w:r>
              <w:t xml:space="preserve">Good Trustpilot guidance but no benchmark</w:t>
            </w:r>
          </w:p>
        </w:tc>
        <w:tc>
          <w:tcPr/>
          <w:p>
            <w:pPr>
              <w:pStyle w:val="Compact"/>
            </w:pPr>
            <w:r>
              <w:t xml:space="preserve">CS04 cited: Trustpilot 5.4→7.0, reviews +127%, response rate +121%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Crisis activation model</w:t>
            </w:r>
          </w:p>
        </w:tc>
        <w:tc>
          <w:tcPr/>
          <w:p>
            <w:pPr>
              <w:pStyle w:val="Compact"/>
            </w:pPr>
            <w:r>
              <w:t xml:space="preserve">Self-constructed command cell</w:t>
            </w:r>
          </w:p>
        </w:tc>
        <w:tc>
          <w:tcPr/>
          <w:p>
            <w:pPr>
              <w:pStyle w:val="Compact"/>
            </w:pPr>
            <w:r>
              <w:t xml:space="preserve">[H15] three-tier severity model, single-spokesperson chain, named role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Holding statement</w:t>
            </w:r>
          </w:p>
        </w:tc>
        <w:tc>
          <w:tcPr/>
          <w:p>
            <w:pPr>
              <w:pStyle w:val="Compact"/>
            </w:pPr>
            <w:r>
              <w:t xml:space="preserve">Well-crafted (original)</w:t>
            </w:r>
          </w:p>
        </w:tc>
        <w:tc>
          <w:tcPr/>
          <w:p>
            <w:pPr>
              <w:pStyle w:val="Compact"/>
            </w:pPr>
            <w:r>
              <w:t xml:space="preserve">Adapted from [H16] documented template structure</w:t>
            </w:r>
          </w:p>
        </w:tc>
      </w:tr>
    </w:tbl>
    <w:bookmarkEnd w:id="23"/>
    <w:bookmarkStart w:id="24" w:name="actionability-0-both-scored-5"/>
    <w:p>
      <w:pPr>
        <w:pStyle w:val="Heading4"/>
      </w:pPr>
      <w:r>
        <w:t xml:space="preserve">Actionability (0 — both scored 5)</w:t>
      </w:r>
    </w:p>
    <w:p>
      <w:pPr>
        <w:pStyle w:val="FirstParagraph"/>
      </w:pPr>
      <w:r>
        <w:t xml:space="preserve">This was the scenario where the baseline performed best. Prompt A’s response was exceptionally detailed: hour-by-hour breakdown (0-2, 2-6, 6-12, 12-24), 8 social media response templates for specific comment types, a 30-day phased plan, and a granular action checklist. Prompt B matched this quality but grounded it in documented procedures.</w:t>
      </w:r>
    </w:p>
    <w:p>
      <w:pPr>
        <w:pStyle w:val="BodyText"/>
      </w:pPr>
      <w:r>
        <w:t xml:space="preserve">The key difference is not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do (both were strong) but</w:t>
      </w:r>
      <w:r>
        <w:t xml:space="preserve"> </w:t>
      </w:r>
      <w:r>
        <w:rPr>
          <w:i/>
          <w:iCs/>
        </w:rPr>
        <w:t xml:space="preserve">why the client should believe it will work</w:t>
      </w:r>
      <w:r>
        <w:t xml:space="preserve">. Prompt B could say</w:t>
      </w:r>
      <w:r>
        <w:t xml:space="preserve"> </w:t>
      </w:r>
      <w:r>
        <w:t xml:space="preserve">“this approach recovered social metrics by 345% in the Coral Sea case [CS11]”</w:t>
      </w:r>
      <w:r>
        <w:t xml:space="preserve"> </w:t>
      </w:r>
      <w:r>
        <w:t xml:space="preserve">while Prompt A could only say</w:t>
      </w:r>
      <w:r>
        <w:t xml:space="preserve"> </w:t>
      </w:r>
      <w:r>
        <w:t xml:space="preserve">“this is best practice.”</w:t>
      </w:r>
    </w:p>
    <w:bookmarkEnd w:id="24"/>
    <w:bookmarkStart w:id="25" w:name="risk-awareness-1"/>
    <w:p>
      <w:pPr>
        <w:pStyle w:val="Heading4"/>
      </w:pPr>
      <w:r>
        <w:t xml:space="preserve">Risk Awareness (+1)</w:t>
      </w:r>
    </w:p>
    <w:p>
      <w:pPr>
        <w:pStyle w:val="FirstParagraph"/>
      </w:pPr>
      <w:r>
        <w:t xml:space="preserve">Both were strong. Prompt A used CDC CERC principles and addressed staff social media risk well. Prompt B added the [S07] warning about uninformed employees creating leaks and contradictions, and the [H17] principle of out-producing negative sentiment rather than arguing with it.</w:t>
      </w:r>
    </w:p>
    <w:bookmarkEnd w:id="25"/>
    <w:bookmarkStart w:id="26" w:name="trust-2-1"/>
    <w:p>
      <w:pPr>
        <w:pStyle w:val="Heading4"/>
      </w:pPr>
      <w:r>
        <w:t xml:space="preserve">Trust (+2)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Trust Signal</w:t>
            </w:r>
          </w:p>
        </w:tc>
        <w:tc>
          <w:tcPr/>
          <w:p>
            <w:pPr>
              <w:pStyle w:val="Compact"/>
            </w:pPr>
            <w:r>
              <w:t xml:space="preserve">Prompt A</w:t>
            </w:r>
          </w:p>
        </w:tc>
        <w:tc>
          <w:tcPr/>
          <w:p>
            <w:pPr>
              <w:pStyle w:val="Compact"/>
            </w:pPr>
            <w:r>
              <w:t xml:space="preserve">Prompt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“This has been done before”</w:t>
            </w:r>
          </w:p>
        </w:tc>
        <w:tc>
          <w:tcPr/>
          <w:p>
            <w:pPr>
              <w:pStyle w:val="Compact"/>
            </w:pPr>
            <w:r>
              <w:t xml:space="preserve">No precedent cited</w:t>
            </w:r>
          </w:p>
        </w:tc>
        <w:tc>
          <w:tcPr/>
          <w:p>
            <w:pPr>
              <w:pStyle w:val="Compact"/>
            </w:pPr>
            <w:r>
              <w:t xml:space="preserve">Coral Sea cited as directly comparable food poisoning crisis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metrics</w:t>
            </w:r>
          </w:p>
        </w:tc>
        <w:tc>
          <w:tcPr/>
          <w:p>
            <w:pPr>
              <w:pStyle w:val="Compact"/>
            </w:pPr>
            <w:r>
              <w:t xml:space="preserve">No data on recovery outcomes</w:t>
            </w:r>
          </w:p>
        </w:tc>
        <w:tc>
          <w:tcPr/>
          <w:p>
            <w:pPr>
              <w:pStyle w:val="Compact"/>
            </w:pPr>
            <w:r>
              <w:t xml:space="preserve">CS11 social growth metrics, CS04 Trustpilot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interception</w:t>
            </w:r>
          </w:p>
        </w:tc>
        <w:tc>
          <w:tcPr/>
          <w:p>
            <w:pPr>
              <w:pStyle w:val="Compac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</w:pPr>
            <w:r>
              <w:t xml:space="preserve">CS04’s customer portal approach for intercepting complaints before they become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12-month recovery model</w:t>
            </w:r>
          </w:p>
        </w:tc>
        <w:tc>
          <w:tcPr/>
          <w:p>
            <w:pPr>
              <w:pStyle w:val="Compact"/>
            </w:pPr>
            <w:r>
              <w:t xml:space="preserve">Generic 3-phase structure</w:t>
            </w:r>
          </w:p>
        </w:tc>
        <w:tc>
          <w:tcPr/>
          <w:p>
            <w:pPr>
              <w:pStyle w:val="Compact"/>
            </w:pPr>
            <w:r>
              <w:t xml:space="preserve">Grounded in CS11’s actual 12-month programme</w:t>
            </w:r>
          </w:p>
        </w:tc>
      </w:tr>
    </w:tbl>
    <w:bookmarkEnd w:id="26"/>
    <w:bookmarkStart w:id="27" w:name="notable-prompt-a-was-already-strong"/>
    <w:p>
      <w:pPr>
        <w:pStyle w:val="Heading4"/>
      </w:pPr>
      <w:r>
        <w:t xml:space="preserve">Notable: Prompt A was already strong</w:t>
      </w:r>
    </w:p>
    <w:p>
      <w:pPr>
        <w:pStyle w:val="FirstParagraph"/>
      </w:pPr>
      <w:r>
        <w:t xml:space="preserve">Scenario 2 baseline was the highest-quality baseline response across all three scenarios. It included real framework citations (CDC CERC), food safety regulatory references (FSA, HACCP), detailed Trustpilot guidance with CMA fake review rules, and a comprehensive social media response template set. The archive context still improved groundedness and trust, but the delta was smaller than Scenarios 1 and 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fea7c92019108b9e98c99a0ab92a04dbb4ef183"/>
    <w:p>
      <w:pPr>
        <w:pStyle w:val="Heading3"/>
      </w:pPr>
      <w:r>
        <w:t xml:space="preserve">Scenario 3: Debt Collection Company Forum/Review Issues</w:t>
      </w:r>
    </w:p>
    <w:bookmarkStart w:id="29" w:name="groundedness-2-2"/>
    <w:p>
      <w:pPr>
        <w:pStyle w:val="Heading4"/>
      </w:pPr>
      <w:r>
        <w:t xml:space="preserve">Groundedness (+2)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Prompt A</w:t>
            </w:r>
          </w:p>
        </w:tc>
        <w:tc>
          <w:tcPr/>
          <w:p>
            <w:pPr>
              <w:pStyle w:val="Compact"/>
            </w:pPr>
            <w:r>
              <w:t xml:space="preserve">Prompt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Comparable case study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CS07 cited throughout: 45%→20% negative reduction, media in The Times/Reuters/Yahoo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Forum escalation process</w:t>
            </w:r>
          </w:p>
        </w:tc>
        <w:tc>
          <w:tcPr/>
          <w:p>
            <w:pPr>
              <w:pStyle w:val="Compact"/>
            </w:pPr>
            <w:r>
              <w:t xml:space="preserve">Self-constructed 5-step ladder (similar quality)</w:t>
            </w:r>
          </w:p>
        </w:tc>
        <w:tc>
          <w:tcPr/>
          <w:p>
            <w:pPr>
              <w:pStyle w:val="Compact"/>
            </w:pPr>
            <w:r>
              <w:t xml:space="preserve">Explicitly followed [H04] 5-step escalation, citing response time (2-4 hours), director/senior manager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Action Group assessment</w:t>
            </w:r>
          </w:p>
        </w:tc>
        <w:tc>
          <w:tcPr/>
          <w:p>
            <w:pPr>
              <w:pStyle w:val="Compact"/>
            </w:pPr>
            <w:r>
              <w:t xml:space="preserve">Correctly identified their rules about defamatory content</w:t>
            </w:r>
          </w:p>
        </w:tc>
        <w:tc>
          <w:tcPr/>
          <w:p>
            <w:pPr>
              <w:pStyle w:val="Compact"/>
            </w:pPr>
            <w:r>
              <w:t xml:space="preserve">Added [H04] warning:</w:t>
            </w:r>
            <w:r>
              <w:t xml:space="preserve"> </w:t>
            </w:r>
            <w:r>
              <w:t xml:space="preserve">“very unlikely to remove content except for clear, provable defamation”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expectations</w:t>
            </w:r>
          </w:p>
        </w:tc>
        <w:tc>
          <w:tcPr/>
          <w:p>
            <w:pPr>
              <w:pStyle w:val="Compact"/>
            </w:pPr>
            <w:r>
              <w:t xml:space="preserve">“Remove 2-4 of the 8, suppress another 2-4”</w:t>
            </w:r>
          </w:p>
        </w:tc>
        <w:tc>
          <w:tcPr/>
          <w:p>
            <w:pPr>
              <w:pStyle w:val="Compact"/>
            </w:pPr>
            <w:r>
              <w:t xml:space="preserve">CS07 benchmark: 45%→20%,</w:t>
            </w:r>
            <w:r>
              <w:t xml:space="preserve"> </w:t>
            </w:r>
            <w:r>
              <w:t xml:space="preserve">“not all negative results can be removed”</w:t>
            </w:r>
            <w:r>
              <w:t xml:space="preserve"> </w:t>
            </w:r>
            <w:r>
              <w:t xml:space="preserve">— evidence-based expectation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generation approach</w:t>
            </w:r>
          </w:p>
        </w:tc>
        <w:tc>
          <w:tcPr/>
          <w:p>
            <w:pPr>
              <w:pStyle w:val="Compact"/>
            </w:pPr>
            <w:r>
              <w:t xml:space="preserve">Good principles</w:t>
            </w:r>
          </w:p>
        </w:tc>
        <w:tc>
          <w:tcPr/>
          <w:p>
            <w:pPr>
              <w:pStyle w:val="Compact"/>
            </w:pPr>
            <w:r>
              <w:t xml:space="preserve">Grounded in [H26] with specific KPIs (100% response rate, 4-hour SLA)</w:t>
            </w:r>
          </w:p>
        </w:tc>
      </w:tr>
    </w:tbl>
    <w:bookmarkEnd w:id="29"/>
    <w:bookmarkStart w:id="30" w:name="actionability-0-both-scored-5-1"/>
    <w:p>
      <w:pPr>
        <w:pStyle w:val="Heading4"/>
      </w:pPr>
      <w:r>
        <w:t xml:space="preserve">Actionability (0 — both scored 5)</w:t>
      </w:r>
    </w:p>
    <w:p>
      <w:pPr>
        <w:pStyle w:val="FirstParagraph"/>
      </w:pPr>
      <w:r>
        <w:t xml:space="preserve">Both responses were highly actionable with strong templates. Prompt A provided three templates (moderator request, Section 5 notice, poster outreach). Prompt B provided four (added a solicitor-style pre-action letter). Both gave platform-specific approaches with contact details and policy citations. Prompt B’s templates explicitly referenced [H04] escalation structure.</w:t>
      </w:r>
    </w:p>
    <w:bookmarkEnd w:id="30"/>
    <w:bookmarkStart w:id="31" w:name="risk-awareness-1-1"/>
    <w:p>
      <w:pPr>
        <w:pStyle w:val="Heading4"/>
      </w:pPr>
      <w:r>
        <w:t xml:space="preserve">Risk Awareness (+1)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0"/>
        <w:gridCol w:w="24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Factor</w:t>
            </w:r>
          </w:p>
        </w:tc>
        <w:tc>
          <w:tcPr/>
          <w:p>
            <w:pPr>
              <w:pStyle w:val="Compact"/>
            </w:pPr>
            <w:r>
              <w:t xml:space="preserve">Prompt A</w:t>
            </w:r>
          </w:p>
        </w:tc>
        <w:tc>
          <w:tcPr/>
          <w:p>
            <w:pPr>
              <w:pStyle w:val="Compact"/>
            </w:pPr>
            <w:r>
              <w:t xml:space="preserve">Prompt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 Off Report difficulty</w:t>
            </w:r>
          </w:p>
        </w:tc>
        <w:tc>
          <w:tcPr/>
          <w:p>
            <w:pPr>
              <w:pStyle w:val="Compact"/>
            </w:pPr>
            <w:r>
              <w:t xml:space="preserve">Correctly identified as near-impossible</w:t>
            </w:r>
          </w:p>
        </w:tc>
        <w:tc>
          <w:tcPr/>
          <w:p>
            <w:pPr>
              <w:pStyle w:val="Compact"/>
            </w:pPr>
            <w:r>
              <w:t xml:space="preserve">Same, plus [H04] citation:</w:t>
            </w:r>
            <w:r>
              <w:t xml:space="preserve"> </w:t>
            </w:r>
            <w:r>
              <w:t xml:space="preserve">“notoriously difficult”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Action Group resistance</w:t>
            </w:r>
          </w:p>
        </w:tc>
        <w:tc>
          <w:tcPr/>
          <w:p>
            <w:pPr>
              <w:pStyle w:val="Compact"/>
            </w:pPr>
            <w:r>
              <w:t xml:space="preserve">Identified rules but rated them</w:t>
            </w:r>
            <w:r>
              <w:t xml:space="preserve"> </w:t>
            </w:r>
            <w:r>
              <w:t xml:space="preserve">“Medium-High”</w:t>
            </w:r>
            <w:r>
              <w:t xml:space="preserve"> </w:t>
            </w:r>
            <w:r>
              <w:t xml:space="preserve">for removal</w:t>
            </w:r>
          </w:p>
        </w:tc>
        <w:tc>
          <w:tcPr/>
          <w:p>
            <w:pPr>
              <w:pStyle w:val="Compact"/>
            </w:pPr>
            <w:r>
              <w:t xml:space="preserve">Rated more conservatively, citing [H04]:</w:t>
            </w:r>
            <w:r>
              <w:t xml:space="preserve"> </w:t>
            </w:r>
            <w:r>
              <w:t xml:space="preserve">“very unlikely to remove except for clear defamation”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industry negativity</w:t>
            </w:r>
          </w:p>
        </w:tc>
        <w:tc>
          <w:tcPr/>
          <w:p>
            <w:pPr>
              <w:pStyle w:val="Compact"/>
            </w:pPr>
            <w:r>
              <w:t xml:space="preserve">Acknowledged (</w:t>
            </w:r>
            <w:r>
              <w:t xml:space="preserve">“debt collection”</w:t>
            </w:r>
            <w:r>
              <w:t xml:space="preserve"> </w:t>
            </w:r>
            <w:r>
              <w:t xml:space="preserve">= inherent negativity)</w:t>
            </w:r>
          </w:p>
        </w:tc>
        <w:tc>
          <w:tcPr/>
          <w:p>
            <w:pPr>
              <w:pStyle w:val="Compact"/>
            </w:pPr>
            <w:r>
              <w:t xml:space="preserve">Same + CS07 precedent: even with full programme, 20% negative remained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RTBF for companies</w:t>
            </w:r>
          </w:p>
        </w:tc>
        <w:tc>
          <w:tcPr/>
          <w:p>
            <w:pPr>
              <w:pStyle w:val="Compac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</w:pPr>
            <w:r>
              <w:t xml:space="preserve">Correctly noted ICO delisting criteria are primarily framed around natural persons, not corporate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 fake review enforcement</w:t>
            </w:r>
          </w:p>
        </w:tc>
        <w:tc>
          <w:tcPr/>
          <w:p>
            <w:pPr>
              <w:pStyle w:val="Compact"/>
            </w:pPr>
            <w:r>
              <w:t xml:space="preserve">Good coverage of April 2025 rules</w:t>
            </w:r>
          </w:p>
        </w:tc>
        <w:tc>
          <w:tcPr/>
          <w:p>
            <w:pPr>
              <w:pStyle w:val="Compact"/>
            </w:pPr>
            <w:r>
              <w:t xml:space="preserve">Same + noted March 2026 enforcement push</w:t>
            </w:r>
          </w:p>
        </w:tc>
      </w:tr>
    </w:tbl>
    <w:bookmarkEnd w:id="31"/>
    <w:bookmarkStart w:id="32" w:name="trust-2-2"/>
    <w:p>
      <w:pPr>
        <w:pStyle w:val="Heading4"/>
      </w:pPr>
      <w:r>
        <w:t xml:space="preserve">Trust (+2)</w:t>
      </w:r>
    </w:p>
    <w:p>
      <w:pPr>
        <w:pStyle w:val="FirstParagraph"/>
      </w:pPr>
      <w:r>
        <w:t xml:space="preserve">The most significant trust difference in Scenario 3 was</w:t>
      </w:r>
      <w:r>
        <w:t xml:space="preserve"> </w:t>
      </w:r>
      <w:r>
        <w:rPr>
          <w:b/>
          <w:bCs/>
        </w:rPr>
        <w:t xml:space="preserve">expectation-setting</w:t>
      </w:r>
      <w:r>
        <w:t xml:space="preserve">. Prompt A estimated</w:t>
      </w:r>
      <w:r>
        <w:t xml:space="preserve"> </w:t>
      </w:r>
      <w:r>
        <w:t xml:space="preserve">“remove 2-4, suppress 2-4, improve top 20 in 3-6 months”</w:t>
      </w:r>
      <w:r>
        <w:t xml:space="preserve"> </w:t>
      </w:r>
      <w:r>
        <w:t xml:space="preserve">— reasonable but unsupported. Prompt B cited CS07:</w:t>
      </w:r>
      <w:r>
        <w:t xml:space="preserve"> </w:t>
      </w:r>
      <w:r>
        <w:t xml:space="preserve">“a similar regulated credit-management business reduced negative Page 1-2 share from 45% to 20%”</w:t>
      </w:r>
      <w:r>
        <w:t xml:space="preserve"> </w:t>
      </w:r>
      <w:r>
        <w:t xml:space="preserve">and explicitly warned the client not to expect total cleanup. That evidence-based honesty is more trustworthy than an estimate, even when both say roughly the same thing.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cross-scenario-patterns"/>
    <w:p>
      <w:pPr>
        <w:pStyle w:val="Heading2"/>
      </w:pPr>
      <w:r>
        <w:t xml:space="preserve">Cross-Scenario Patterns</w:t>
      </w:r>
    </w:p>
    <w:bookmarkStart w:id="35" w:name="X60f768eca71b6c20bd24e1fc708267ea3d7e575"/>
    <w:p>
      <w:pPr>
        <w:pStyle w:val="Heading3"/>
      </w:pPr>
      <w:r>
        <w:t xml:space="preserve">Where archive context consistently helped most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Groundedness (+2.0 avg)</w:t>
      </w:r>
      <w:r>
        <w:t xml:space="preserve"> </w:t>
      </w:r>
      <w:r>
        <w:t xml:space="preserve">— The single largest and most consistent improvement. Every Prompt B response wove case study metrics, documented procedures, and bracketed citations throughout. Prompt A responses relied on external sources and self-constructed frameworks.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Trust (+2.0 avg)</w:t>
      </w:r>
      <w:r>
        <w:t xml:space="preserve"> </w:t>
      </w:r>
      <w:r>
        <w:t xml:space="preserve">— Directly tied to groundedness. The difference between</w:t>
      </w:r>
      <w:r>
        <w:t xml:space="preserve"> </w:t>
      </w:r>
      <w:r>
        <w:t xml:space="preserve">“here’s what I recommend”</w:t>
      </w:r>
      <w:r>
        <w:t xml:space="preserve"> </w:t>
      </w:r>
      <w:r>
        <w:t xml:space="preserve">and</w:t>
      </w:r>
      <w:r>
        <w:t xml:space="preserve"> </w:t>
      </w:r>
      <w:r>
        <w:t xml:space="preserve">“here’s what we did for a similar client, and here are the numbers.”</w:t>
      </w:r>
      <w:r>
        <w:t xml:space="preserve"> </w:t>
      </w:r>
      <w:r>
        <w:t xml:space="preserve">A client reading Prompt B sees a firm with institutional memory.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Risk Awareness (+1.3 avg)</w:t>
      </w:r>
      <w:r>
        <w:t xml:space="preserve"> </w:t>
      </w:r>
      <w:r>
        <w:t xml:space="preserve">— The archive context surfaced risks that generic knowledge missed: Streisand effect warnings (Scenario 1), Consumer Action Group’s resistance to removal (Scenario 3), RTBF territorial limits (Scenario 1), and the structural impossibility of total cleanup for certain industries (Scenario 3).</w:t>
      </w:r>
    </w:p>
    <w:bookmarkEnd w:id="35"/>
    <w:bookmarkStart w:id="36" w:name="where-archive-context-helped-least"/>
    <w:p>
      <w:pPr>
        <w:pStyle w:val="Heading3"/>
      </w:pPr>
      <w:r>
        <w:t xml:space="preserve">Where archive context helped least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Relevance (0 avg)</w:t>
      </w:r>
      <w:r>
        <w:t xml:space="preserve"> </w:t>
      </w:r>
      <w:r>
        <w:t xml:space="preserve">— Both prompts addressed the exact issue. The model understood the scenario equally well with and without context.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Actionability (+0.3 avg)</w:t>
      </w:r>
      <w:r>
        <w:t xml:space="preserve"> </w:t>
      </w:r>
      <w:r>
        <w:t xml:space="preserve">— The baseline model (GPT 5.3 Thinking) produced very strong procedural content on its own. Templates, checklists, and step-by-step plans were high quality in both versions. The archive context added incremental improvements (RTBF appeal template, complaint interception) but didn’t transform actionability.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Accuracy (+0.3 avg)</w:t>
      </w:r>
      <w:r>
        <w:t xml:space="preserve"> </w:t>
      </w:r>
      <w:r>
        <w:t xml:space="preserve">— The baseline was already accurate. External legal citations (legislation.gov.uk, ico.org.uk, food.gov.uk) were correct in both versions. The archive didn’t prevent hallucinations because there were none to prevent.</w:t>
      </w:r>
    </w:p>
    <w:bookmarkEnd w:id="36"/>
    <w:bookmarkStart w:id="37" w:name="baseline-model-strength"/>
    <w:p>
      <w:pPr>
        <w:pStyle w:val="Heading3"/>
      </w:pPr>
      <w:r>
        <w:t xml:space="preserve">Baseline model strength</w:t>
      </w:r>
    </w:p>
    <w:p>
      <w:pPr>
        <w:pStyle w:val="FirstParagraph"/>
      </w:pPr>
      <w:r>
        <w:t xml:space="preserve">GPT 5.3 Thinking is a strong baseline. Its Prompt A responses were substantially better than what earlier models would have produced — it found real legal citations, constructed reasonable frameworks, and gave practical advice. This means the archive context is proving value against a</w:t>
      </w:r>
      <w:r>
        <w:t xml:space="preserve"> </w:t>
      </w:r>
      <w:r>
        <w:rPr>
          <w:b/>
          <w:bCs/>
        </w:rPr>
        <w:t xml:space="preserve">high baseline</w:t>
      </w:r>
      <w:r>
        <w:t xml:space="preserve">, not a weak one. The improvement delta would likely be larger with a less capable model.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hallucination-analysis"/>
    <w:p>
      <w:pPr>
        <w:pStyle w:val="Heading2"/>
      </w:pPr>
      <w:r>
        <w:t xml:space="preserve">Hallucination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A Hallucinations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B Hallucinations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detected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detected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detected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detected</w:t>
            </w:r>
          </w:p>
        </w:tc>
      </w:tr>
    </w:tbl>
    <w:p>
      <w:pPr>
        <w:pStyle w:val="BodyText"/>
      </w:pPr>
      <w:r>
        <w:t xml:space="preserve">Neither version hallucinated legal citations, case details, or procedures. The model was consistently grounded in verifiable external sources (Prompt A) or verifiable external + internal sources (Prompt B). The archive context did not introduce any false claims.</w:t>
      </w:r>
    </w:p>
    <w:p>
      <w:r>
        <w:pict>
          <v:rect style="width:0;height:1.5pt" o:hralign="center" o:hrstd="t" o:hr="t"/>
        </w:pict>
      </w:r>
    </w:p>
    <w:bookmarkEnd w:id="39"/>
    <w:bookmarkStart w:id="42" w:name="context-utilisation-analysis"/>
    <w:p>
      <w:pPr>
        <w:pStyle w:val="Heading2"/>
      </w:pPr>
      <w:r>
        <w:t xml:space="preserve">Context Utilisation Analysis</w:t>
      </w:r>
    </w:p>
    <w:bookmarkStart w:id="40" w:name="which-documents-were-most-heavily-used"/>
    <w:p>
      <w:pPr>
        <w:pStyle w:val="Heading3"/>
      </w:pPr>
      <w:r>
        <w:t xml:space="preserve">Which documents were most heavily used?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3099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Times Referenced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CS02 (UK C-Suite tribunal)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High — directly analogous case anchored the entire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CS11 (Coral Sea crisis)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High — recovery metrics used as evidence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CS07 (Credit management company)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High — expectation-setting and suppression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H04 (Forum removal escalation)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High — structured the entire removal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 (RTBF request)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Medium — form URL and success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H16 (Holding statement)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Medium — template structure adapted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CS04 (Symphony Group reviews)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Medium — Trustpilot recovery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H17 (Social media crisis)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Medium — out-produce principle, don’t delete 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H02 (RTBF appeal)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Medium — appeal strategy and personal email tactic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H15 (Crisis activation)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Medium — severity tiers and chain of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H08 (News archive removal)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t xml:space="preserve">Medium — IPSO route surfaced organically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H22 (Guest posting)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t xml:space="preserve">Low-Medium — content volume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H26 (Review generation)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t xml:space="preserve">Low-Medium — KPIs and response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 (Executive scenario)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2+</w:t>
            </w:r>
          </w:p>
        </w:tc>
        <w:tc>
          <w:tcPr/>
          <w:p>
            <w:pPr>
              <w:pStyle w:val="Compact"/>
            </w:pPr>
            <w:r>
              <w:t xml:space="preserve">Low — Streisand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 (Active crisis scenario)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2+</w:t>
            </w:r>
          </w:p>
        </w:tc>
        <w:tc>
          <w:tcPr/>
          <w:p>
            <w:pPr>
              <w:pStyle w:val="Compact"/>
            </w:pPr>
            <w:r>
              <w:t xml:space="preserve">Low — phasing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 (Forum/complaint scenario)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2+</w:t>
            </w:r>
          </w:p>
        </w:tc>
        <w:tc>
          <w:tcPr/>
          <w:p>
            <w:pPr>
              <w:pStyle w:val="Compact"/>
            </w:pPr>
            <w:r>
              <w:t xml:space="preserve">Low — triage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 (Removal decision tree)</w:t>
            </w:r>
          </w:p>
        </w:tc>
        <w:tc>
          <w:tcPr/>
          <w:p>
            <w:pPr>
              <w:pStyle w:val="Compact"/>
            </w:pPr>
            <w:r>
              <w:t xml:space="preserve">1, 3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2+ each</w:t>
            </w:r>
          </w:p>
        </w:tc>
        <w:tc>
          <w:tcPr/>
          <w:p>
            <w:pPr>
              <w:pStyle w:val="Compact"/>
            </w:pPr>
            <w:r>
              <w:t xml:space="preserve">Low — hierarchy reference</w:t>
            </w:r>
          </w:p>
        </w:tc>
      </w:tr>
    </w:tbl>
    <w:bookmarkEnd w:id="40"/>
    <w:bookmarkStart w:id="41" w:name="most-impactful-document-types"/>
    <w:p>
      <w:pPr>
        <w:pStyle w:val="Heading3"/>
      </w:pPr>
      <w:r>
        <w:t xml:space="preserve">Most impactful document types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Case studies (CS)</w:t>
      </w:r>
      <w:r>
        <w:t xml:space="preserve"> </w:t>
      </w:r>
      <w:r>
        <w:t xml:space="preserve">— By far the most impactful. They provided the metrics, timelines, and</w:t>
      </w:r>
      <w:r>
        <w:t xml:space="preserve"> </w:t>
      </w:r>
      <w:r>
        <w:t xml:space="preserve">“this has been done before”</w:t>
      </w:r>
      <w:r>
        <w:t xml:space="preserve"> </w:t>
      </w:r>
      <w:r>
        <w:t xml:space="preserve">evidence that drove the trust and groundedness improvements.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How-to guides (H)</w:t>
      </w:r>
      <w:r>
        <w:t xml:space="preserve"> </w:t>
      </w:r>
      <w:r>
        <w:t xml:space="preserve">— Provided procedural specifics (RTBF form URLs, escalation steps, response times) that improved actionability and accuracy.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Scenarios (S)</w:t>
      </w:r>
      <w:r>
        <w:t xml:space="preserve"> </w:t>
      </w:r>
      <w:r>
        <w:t xml:space="preserve">— Least impactful as standalone documents. They mainly reinforced phasing and risk warnings that the model often generated independently.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Actions (A)</w:t>
      </w:r>
      <w:r>
        <w:t xml:space="preserve"> </w:t>
      </w:r>
      <w:r>
        <w:t xml:space="preserve">— Provided decision-tree framing but the model often constructed similar hierarchies on its own.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ecommendations"/>
    <w:p>
      <w:pPr>
        <w:pStyle w:val="Heading2"/>
      </w:pPr>
      <w:r>
        <w:t xml:space="preserve">Recommendations</w:t>
      </w:r>
    </w:p>
    <w:bookmarkStart w:id="43" w:name="for-the-rag-system"/>
    <w:p>
      <w:pPr>
        <w:pStyle w:val="Heading3"/>
      </w:pPr>
      <w:r>
        <w:t xml:space="preserve">For the RAG system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Prioritise case studies for retrieval.</w:t>
      </w:r>
      <w:r>
        <w:t xml:space="preserve"> </w:t>
      </w:r>
      <w:r>
        <w:t xml:space="preserve">They drove the largest quality improvements. If retrieval budget is limited, case studies should always be included.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How-to guides are the second priority.</w:t>
      </w:r>
      <w:r>
        <w:t xml:space="preserve"> </w:t>
      </w:r>
      <w:r>
        <w:t xml:space="preserve">They add procedural precision that the model can’t reliably generate from general knowledge (e.g., RTBF success rates, forum response time SLAs, specific platform contact methods).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Scenarios and actions are lower priority for retrieval.</w:t>
      </w:r>
      <w:r>
        <w:t xml:space="preserve"> </w:t>
      </w:r>
      <w:r>
        <w:t xml:space="preserve">The model generates reasonable framing independently. Include them only when context budget allows.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Consider adding more case studies.</w:t>
      </w:r>
      <w:r>
        <w:t xml:space="preserve"> </w:t>
      </w:r>
      <w:r>
        <w:t xml:space="preserve">The current 11 cover many situations, but gaps remain (e.g., no social media defamation case, no data breach case, no product recall case).</w:t>
      </w:r>
    </w:p>
    <w:bookmarkEnd w:id="43"/>
    <w:bookmarkStart w:id="44" w:name="for-the-prompts"/>
    <w:p>
      <w:pPr>
        <w:pStyle w:val="Heading3"/>
      </w:pPr>
      <w:r>
        <w:t xml:space="preserve">For the prompts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bracket citation instruction worked well.</w:t>
      </w:r>
      <w:r>
        <w:t xml:space="preserve"> </w:t>
      </w:r>
      <w:r>
        <w:t xml:space="preserve">Prompt B responses consistently used [CS02], [H01] etc., making it easy to trace claims back to source documents.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“combine with external sources”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 worked.</w:t>
      </w:r>
      <w:r>
        <w:t xml:space="preserve"> </w:t>
      </w:r>
      <w:r>
        <w:t xml:space="preserve">Prompt B responses blended internal case studies with external legal citations, producing more credible outputs than either source alone.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Template language requests improved actionability in both versions.</w:t>
      </w:r>
      <w:r>
        <w:t xml:space="preserve"> </w:t>
      </w:r>
      <w:r>
        <w:t xml:space="preserve">Worth keeping for future scenarios.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Budget range requests were well-handled by both versions.</w:t>
      </w:r>
      <w:r>
        <w:t xml:space="preserve"> </w:t>
      </w:r>
      <w:r>
        <w:t xml:space="preserve">The archive context didn’t significantly improve budget estimates, suggesting this is an area where general model knowledge is already sufficient.</w:t>
      </w:r>
    </w:p>
    <w:bookmarkEnd w:id="44"/>
    <w:bookmarkStart w:id="45" w:name="for-the-evaluation-framework"/>
    <w:p>
      <w:pPr>
        <w:pStyle w:val="Heading3"/>
      </w:pPr>
      <w:r>
        <w:t xml:space="preserve">For the evaluation framework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Groundedness and trust are the key differentiators.</w:t>
      </w:r>
      <w:r>
        <w:t xml:space="preserve"> </w:t>
      </w:r>
      <w:r>
        <w:t xml:space="preserve">Future evaluations should weight these criteria more heavily — they capture the core value proposition of the RAG approach.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Actionability has a ceiling effect.</w:t>
      </w:r>
      <w:r>
        <w:t xml:space="preserve"> </w:t>
      </w:r>
      <w:r>
        <w:t xml:space="preserve">Strong baseline models already produce actionable output, so RAG improvements are marginal. This criterion is less useful for distinguishing the value of context.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 with weaker models.</w:t>
      </w:r>
      <w:r>
        <w:t xml:space="preserve"> </w:t>
      </w:r>
      <w:r>
        <w:t xml:space="preserve">The delta would likely be larger with less capable models, which is relevant if the production system uses a cheaper/faster model.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ecision-gate-from-agents.md-step-6"/>
    <w:p>
      <w:pPr>
        <w:pStyle w:val="Heading2"/>
      </w:pPr>
      <w:r>
        <w:t xml:space="preserve">Decision Gate (from AGENTS.md Step 6)</w:t>
      </w:r>
    </w:p>
    <w:bookmarkStart w:id="47" w:name="result-positive"/>
    <w:p>
      <w:pPr>
        <w:pStyle w:val="Heading3"/>
      </w:pPr>
      <w:r>
        <w:t xml:space="preserve">Result: POSITIVE</w:t>
      </w:r>
    </w:p>
    <w:p>
      <w:pPr>
        <w:pStyle w:val="FirstParagraph"/>
      </w:pPr>
      <w:r>
        <w:t xml:space="preserve">All success criteria met: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preference</w:t>
      </w:r>
      <w:r>
        <w:t xml:space="preserve"> </w:t>
      </w:r>
      <w:r>
        <w:t xml:space="preserve">for archive-assisted (target: &gt;=70%)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+2.0 groundedness improvement</w:t>
      </w:r>
      <w:r>
        <w:t xml:space="preserve"> </w:t>
      </w:r>
      <w:r>
        <w:t xml:space="preserve">(target: improved)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+0.3 actionability improvement</w:t>
      </w:r>
      <w:r>
        <w:t xml:space="preserve"> </w:t>
      </w:r>
      <w:r>
        <w:t xml:space="preserve">(target: improved)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hallucinations in both versions</w:t>
      </w:r>
      <w:r>
        <w:t xml:space="preserve"> </w:t>
      </w:r>
      <w:r>
        <w:t xml:space="preserve">(target: reduced unsupported claims)</w:t>
      </w:r>
    </w:p>
    <w:bookmarkEnd w:id="47"/>
    <w:bookmarkStart w:id="48" w:name="recommended-next-steps"/>
    <w:p>
      <w:pPr>
        <w:pStyle w:val="Heading3"/>
      </w:pPr>
      <w:r>
        <w:t xml:space="preserve">Recommended next steps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Proceed to embeddings and vector DB</w:t>
      </w:r>
      <w:r>
        <w:t xml:space="preserve"> </w:t>
      </w:r>
      <w:r>
        <w:t xml:space="preserve">— the manual RAG simulation has proven the value of the archive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Priority documents to embed first:</w:t>
      </w:r>
      <w:r>
        <w:t xml:space="preserve"> </w:t>
      </w:r>
      <w:r>
        <w:t xml:space="preserve">all 11 case studies, then all 28 how-to guides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Retrieval strategy:</w:t>
      </w:r>
      <w:r>
        <w:t xml:space="preserve"> </w:t>
      </w:r>
      <w:r>
        <w:t xml:space="preserve">always retrieve at least 1 case study + 1-2 how-to guides per query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Estimated corpus:</w:t>
      </w:r>
      <w:r>
        <w:t xml:space="preserve"> </w:t>
      </w:r>
      <w:r>
        <w:t xml:space="preserve">65 files, ~71,000 words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 Scenarios 2 and 3 through human expert evaluation</w:t>
      </w:r>
      <w:r>
        <w:t xml:space="preserve"> </w:t>
      </w:r>
      <w:r>
        <w:t xml:space="preserve">to validate automated scores before investing in infrastructure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2026-04-12T10:15:27Z</dcterms:created>
  <dcterms:modified xsi:type="dcterms:W3CDTF">2026-04-12T10:15:27Z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