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D762B" w14:textId="77777777" w:rsidR="001B4C95" w:rsidRPr="00C06A12" w:rsidRDefault="001B4C95">
      <w:pPr>
        <w:spacing w:before="1200"/>
      </w:pPr>
    </w:p>
    <w:p w14:paraId="269B51D9" w14:textId="77777777" w:rsidR="001B4C95" w:rsidRPr="00C06A12" w:rsidRDefault="00000000">
      <w:pPr>
        <w:spacing w:after="100"/>
        <w:jc w:val="center"/>
      </w:pPr>
      <w:r w:rsidRPr="00C06A12">
        <w:rPr>
          <w:b/>
          <w:bCs/>
          <w:color w:val="595959"/>
          <w:sz w:val="32"/>
          <w:szCs w:val="32"/>
        </w:rPr>
        <w:t>STAPORT</w:t>
      </w:r>
    </w:p>
    <w:p w14:paraId="2F9FBFFC" w14:textId="77777777" w:rsidR="001B4C95" w:rsidRPr="00C06A12" w:rsidRDefault="001B4C95">
      <w:pPr>
        <w:pBdr>
          <w:bottom w:val="single" w:sz="6" w:space="10" w:color="B08D57"/>
        </w:pBdr>
        <w:spacing w:after="600"/>
        <w:jc w:val="center"/>
      </w:pPr>
    </w:p>
    <w:p w14:paraId="1E94EB55" w14:textId="77777777" w:rsidR="001B4C95" w:rsidRPr="00C06A12" w:rsidRDefault="001B4C95">
      <w:pPr>
        <w:spacing w:before="800"/>
      </w:pPr>
    </w:p>
    <w:p w14:paraId="5214EBFA" w14:textId="77777777" w:rsidR="001B4C95" w:rsidRPr="00C06A12" w:rsidRDefault="00000000">
      <w:pPr>
        <w:spacing w:after="200"/>
        <w:jc w:val="center"/>
      </w:pPr>
      <w:r w:rsidRPr="00C06A12">
        <w:rPr>
          <w:b/>
          <w:bCs/>
          <w:color w:val="1F3864"/>
          <w:sz w:val="72"/>
          <w:szCs w:val="72"/>
        </w:rPr>
        <w:t>G-BANQUE</w:t>
      </w:r>
    </w:p>
    <w:p w14:paraId="07ADB655" w14:textId="77777777" w:rsidR="001B4C95" w:rsidRPr="00C06A12" w:rsidRDefault="00000000">
      <w:pPr>
        <w:spacing w:after="100"/>
        <w:jc w:val="center"/>
      </w:pPr>
      <w:r w:rsidRPr="00C06A12">
        <w:rPr>
          <w:color w:val="2E5395"/>
          <w:sz w:val="40"/>
          <w:szCs w:val="40"/>
        </w:rPr>
        <w:t>Synthèse Direction</w:t>
      </w:r>
    </w:p>
    <w:p w14:paraId="2E388C8F" w14:textId="77777777" w:rsidR="001B4C95" w:rsidRPr="00C06A12" w:rsidRDefault="00000000">
      <w:pPr>
        <w:spacing w:after="100"/>
        <w:jc w:val="center"/>
      </w:pPr>
      <w:r w:rsidRPr="00C06A12">
        <w:rPr>
          <w:i/>
          <w:iCs/>
          <w:color w:val="595959"/>
          <w:sz w:val="24"/>
          <w:szCs w:val="24"/>
        </w:rPr>
        <w:t>Système de gestion et de suivi des opérations bancaires internes</w:t>
      </w:r>
    </w:p>
    <w:p w14:paraId="4A750DD5" w14:textId="77777777" w:rsidR="001B4C95" w:rsidRPr="00C06A12" w:rsidRDefault="001B4C95">
      <w:pPr>
        <w:spacing w:before="2400"/>
      </w:pPr>
    </w:p>
    <w:p w14:paraId="07A093F3" w14:textId="2089A09C" w:rsidR="001B4C95" w:rsidRPr="00C06A12" w:rsidRDefault="004346C7">
      <w:pPr>
        <w:spacing w:after="60"/>
        <w:jc w:val="center"/>
      </w:pPr>
      <w:r w:rsidRPr="00C06A12">
        <w:rPr>
          <w:color w:val="595959"/>
        </w:rPr>
        <w:t>Réalisé par Hmayda Abdessamad</w:t>
      </w:r>
    </w:p>
    <w:p w14:paraId="36589683" w14:textId="77777777" w:rsidR="001B4C95" w:rsidRPr="00C06A12" w:rsidRDefault="00000000">
      <w:pPr>
        <w:spacing w:after="60"/>
        <w:jc w:val="center"/>
      </w:pPr>
      <w:r w:rsidRPr="00C06A12">
        <w:rPr>
          <w:color w:val="595959"/>
        </w:rPr>
        <w:t>Juillet 2026</w:t>
      </w:r>
    </w:p>
    <w:p w14:paraId="7F92F322" w14:textId="77777777" w:rsidR="001B4C95" w:rsidRPr="00C06A12" w:rsidRDefault="00000000">
      <w:r w:rsidRPr="00C06A12">
        <w:br w:type="page"/>
      </w:r>
    </w:p>
    <w:p w14:paraId="43864D7F" w14:textId="77777777" w:rsidR="001B4C95" w:rsidRPr="00C06A12" w:rsidRDefault="001B4C95">
      <w:pPr>
        <w:sectPr w:rsidR="001B4C95" w:rsidRPr="00C06A12">
          <w:pgSz w:w="11906" w:h="16838"/>
          <w:pgMar w:top="1418" w:right="1418" w:bottom="1418" w:left="1418" w:header="708" w:footer="708" w:gutter="0"/>
          <w:cols w:space="720"/>
          <w:docGrid w:linePitch="360"/>
        </w:sectPr>
      </w:pPr>
    </w:p>
    <w:p w14:paraId="1257DB94" w14:textId="77777777" w:rsidR="001B4C95" w:rsidRPr="00C06A12" w:rsidRDefault="00000000">
      <w:pPr>
        <w:pStyle w:val="Titre1"/>
        <w:pBdr>
          <w:bottom w:val="single" w:sz="8" w:space="8" w:color="B08D57"/>
        </w:pBdr>
        <w:spacing w:after="300"/>
        <w:rPr>
          <w:lang w:val="fr-FR"/>
        </w:rPr>
      </w:pPr>
      <w:r w:rsidRPr="00C06A12">
        <w:rPr>
          <w:lang w:val="fr-FR"/>
        </w:rPr>
        <w:lastRenderedPageBreak/>
        <w:t>Sommaire</w:t>
      </w:r>
    </w:p>
    <w:p w14:paraId="4F8F7975" w14:textId="77777777" w:rsidR="001B4C95" w:rsidRPr="00C06A12" w:rsidRDefault="00000000">
      <w:pPr>
        <w:spacing w:before="200" w:after="100"/>
      </w:pPr>
      <w:r w:rsidRPr="00C06A12">
        <w:rPr>
          <w:b/>
          <w:bCs/>
          <w:color w:val="2E5395"/>
        </w:rPr>
        <w:t>Socle d'accès</w:t>
      </w:r>
    </w:p>
    <w:p w14:paraId="4E335C4A" w14:textId="77777777" w:rsidR="001B4C95" w:rsidRPr="00C06A12" w:rsidRDefault="00000000">
      <w:pPr>
        <w:tabs>
          <w:tab w:val="right" w:leader="dot" w:pos="9026"/>
        </w:tabs>
        <w:spacing w:after="60"/>
        <w:ind w:left="360"/>
      </w:pPr>
      <w:hyperlink w:anchor="chap1" w:history="1">
        <w:r w:rsidRPr="00C06A12">
          <w:rPr>
            <w:color w:val="262626"/>
            <w:sz w:val="21"/>
            <w:szCs w:val="21"/>
          </w:rPr>
          <w:t>Chapitre 1 — Authentification</w:t>
        </w:r>
      </w:hyperlink>
    </w:p>
    <w:p w14:paraId="2368541B" w14:textId="77777777" w:rsidR="001B4C95" w:rsidRPr="00C06A12" w:rsidRDefault="00000000">
      <w:pPr>
        <w:tabs>
          <w:tab w:val="right" w:leader="dot" w:pos="9026"/>
        </w:tabs>
        <w:spacing w:after="60"/>
        <w:ind w:left="360"/>
      </w:pPr>
      <w:hyperlink w:anchor="chap2" w:history="1">
        <w:r w:rsidRPr="00C06A12">
          <w:rPr>
            <w:color w:val="262626"/>
            <w:sz w:val="21"/>
            <w:szCs w:val="21"/>
          </w:rPr>
          <w:t>Chapitre 2 — Gestion des départements</w:t>
        </w:r>
      </w:hyperlink>
    </w:p>
    <w:p w14:paraId="746F65C0" w14:textId="77777777" w:rsidR="001B4C95" w:rsidRPr="00C06A12" w:rsidRDefault="00000000">
      <w:pPr>
        <w:tabs>
          <w:tab w:val="right" w:leader="dot" w:pos="9026"/>
        </w:tabs>
        <w:spacing w:after="60"/>
        <w:ind w:left="360"/>
      </w:pPr>
      <w:hyperlink w:anchor="chap3" w:history="1">
        <w:r w:rsidRPr="00C06A12">
          <w:rPr>
            <w:color w:val="262626"/>
            <w:sz w:val="21"/>
            <w:szCs w:val="21"/>
          </w:rPr>
          <w:t>Chapitre 3 — Gestion</w:t>
        </w:r>
        <w:r w:rsidRPr="00C06A12">
          <w:rPr>
            <w:color w:val="262626"/>
            <w:sz w:val="21"/>
            <w:szCs w:val="21"/>
          </w:rPr>
          <w:t xml:space="preserve"> </w:t>
        </w:r>
        <w:r w:rsidRPr="00C06A12">
          <w:rPr>
            <w:color w:val="262626"/>
            <w:sz w:val="21"/>
            <w:szCs w:val="21"/>
          </w:rPr>
          <w:t>des utilisateurs</w:t>
        </w:r>
      </w:hyperlink>
    </w:p>
    <w:p w14:paraId="709F5DB3" w14:textId="77777777" w:rsidR="001B4C95" w:rsidRPr="00C06A12" w:rsidRDefault="00000000">
      <w:pPr>
        <w:spacing w:before="200" w:after="100"/>
      </w:pPr>
      <w:r w:rsidRPr="00C06A12">
        <w:rPr>
          <w:b/>
          <w:bCs/>
          <w:color w:val="2E5395"/>
        </w:rPr>
        <w:t>Comptes bancaires</w:t>
      </w:r>
    </w:p>
    <w:p w14:paraId="2CDA8C0C" w14:textId="77777777" w:rsidR="001B4C95" w:rsidRPr="00C06A12" w:rsidRDefault="00000000">
      <w:pPr>
        <w:tabs>
          <w:tab w:val="right" w:leader="dot" w:pos="9026"/>
        </w:tabs>
        <w:spacing w:after="60"/>
        <w:ind w:left="360"/>
      </w:pPr>
      <w:hyperlink w:anchor="chap4" w:history="1">
        <w:r w:rsidRPr="00C06A12">
          <w:rPr>
            <w:color w:val="262626"/>
            <w:sz w:val="21"/>
            <w:szCs w:val="21"/>
          </w:rPr>
          <w:t>Chapitre 4 — Comptes bancaires</w:t>
        </w:r>
      </w:hyperlink>
    </w:p>
    <w:p w14:paraId="573B711D" w14:textId="77777777" w:rsidR="001B4C95" w:rsidRPr="00C06A12" w:rsidRDefault="00000000">
      <w:pPr>
        <w:spacing w:before="200" w:after="100"/>
      </w:pPr>
      <w:r w:rsidRPr="00C06A12">
        <w:rPr>
          <w:b/>
          <w:bCs/>
          <w:color w:val="2E5395"/>
        </w:rPr>
        <w:t>Produits financiers rattachés au compte</w:t>
      </w:r>
    </w:p>
    <w:p w14:paraId="1E6F4DB0" w14:textId="77777777" w:rsidR="001B4C95" w:rsidRPr="00C06A12" w:rsidRDefault="00000000">
      <w:pPr>
        <w:tabs>
          <w:tab w:val="right" w:leader="dot" w:pos="9026"/>
        </w:tabs>
        <w:spacing w:after="60"/>
        <w:ind w:left="360"/>
      </w:pPr>
      <w:hyperlink w:anchor="chap5" w:history="1">
        <w:r w:rsidRPr="00C06A12">
          <w:rPr>
            <w:color w:val="262626"/>
            <w:sz w:val="21"/>
            <w:szCs w:val="21"/>
          </w:rPr>
          <w:t>Chapitre 5 — Crédit Moyen Terme (CMT)</w:t>
        </w:r>
      </w:hyperlink>
    </w:p>
    <w:p w14:paraId="2F041ED9" w14:textId="77777777" w:rsidR="001B4C95" w:rsidRPr="00C06A12" w:rsidRDefault="00000000">
      <w:pPr>
        <w:tabs>
          <w:tab w:val="right" w:leader="dot" w:pos="9026"/>
        </w:tabs>
        <w:spacing w:after="60"/>
        <w:ind w:left="360"/>
      </w:pPr>
      <w:hyperlink w:anchor="chap6" w:history="1">
        <w:r w:rsidRPr="00C06A12">
          <w:rPr>
            <w:color w:val="262626"/>
            <w:sz w:val="21"/>
            <w:szCs w:val="21"/>
          </w:rPr>
          <w:t>Chapitre 6 — Lignes Fonctionnelles</w:t>
        </w:r>
      </w:hyperlink>
    </w:p>
    <w:p w14:paraId="4C20305D" w14:textId="77777777" w:rsidR="001B4C95" w:rsidRPr="00C06A12" w:rsidRDefault="00000000">
      <w:pPr>
        <w:tabs>
          <w:tab w:val="right" w:leader="dot" w:pos="9026"/>
        </w:tabs>
        <w:spacing w:after="60"/>
        <w:ind w:left="360"/>
      </w:pPr>
      <w:hyperlink w:anchor="chap7" w:history="1">
        <w:r w:rsidRPr="00C06A12">
          <w:rPr>
            <w:color w:val="262626"/>
            <w:sz w:val="21"/>
            <w:szCs w:val="21"/>
          </w:rPr>
          <w:t>Chapitre 7 — Leasing</w:t>
        </w:r>
      </w:hyperlink>
    </w:p>
    <w:p w14:paraId="09EC4F35" w14:textId="77777777" w:rsidR="001B4C95" w:rsidRPr="00C06A12" w:rsidRDefault="00000000">
      <w:pPr>
        <w:spacing w:before="200" w:after="100"/>
      </w:pPr>
      <w:r w:rsidRPr="00C06A12">
        <w:rPr>
          <w:b/>
          <w:bCs/>
          <w:color w:val="2E5395"/>
        </w:rPr>
        <w:t>Marchés et satellites</w:t>
      </w:r>
    </w:p>
    <w:p w14:paraId="49A75B8D" w14:textId="77777777" w:rsidR="001B4C95" w:rsidRPr="00C06A12" w:rsidRDefault="00000000">
      <w:pPr>
        <w:tabs>
          <w:tab w:val="right" w:leader="dot" w:pos="9026"/>
        </w:tabs>
        <w:spacing w:after="60"/>
        <w:ind w:left="360"/>
      </w:pPr>
      <w:hyperlink w:anchor="chap8" w:history="1">
        <w:r w:rsidRPr="00C06A12">
          <w:rPr>
            <w:color w:val="262626"/>
            <w:sz w:val="21"/>
            <w:szCs w:val="21"/>
          </w:rPr>
          <w:t>Chapitre 8 — Marchés</w:t>
        </w:r>
      </w:hyperlink>
    </w:p>
    <w:p w14:paraId="34700C03" w14:textId="77777777" w:rsidR="001B4C95" w:rsidRPr="00C06A12" w:rsidRDefault="00000000">
      <w:pPr>
        <w:tabs>
          <w:tab w:val="right" w:leader="dot" w:pos="9026"/>
        </w:tabs>
        <w:spacing w:after="60"/>
        <w:ind w:left="360"/>
      </w:pPr>
      <w:hyperlink w:anchor="chap9" w:history="1">
        <w:r w:rsidRPr="00C06A12">
          <w:rPr>
            <w:color w:val="262626"/>
            <w:sz w:val="21"/>
            <w:szCs w:val="21"/>
          </w:rPr>
          <w:t>Chapitre 9 — Caution</w:t>
        </w:r>
      </w:hyperlink>
    </w:p>
    <w:p w14:paraId="4989961F" w14:textId="77777777" w:rsidR="001B4C95" w:rsidRPr="00C06A12" w:rsidRDefault="00000000">
      <w:pPr>
        <w:tabs>
          <w:tab w:val="right" w:leader="dot" w:pos="9026"/>
        </w:tabs>
        <w:spacing w:after="60"/>
        <w:ind w:left="360"/>
      </w:pPr>
      <w:hyperlink w:anchor="chap10" w:history="1">
        <w:r w:rsidRPr="00C06A12">
          <w:rPr>
            <w:color w:val="262626"/>
            <w:sz w:val="21"/>
            <w:szCs w:val="21"/>
          </w:rPr>
          <w:t>Chapitre 10 — Décomptes</w:t>
        </w:r>
      </w:hyperlink>
    </w:p>
    <w:p w14:paraId="3E510498" w14:textId="77777777" w:rsidR="001B4C95" w:rsidRPr="00C06A12" w:rsidRDefault="00000000">
      <w:pPr>
        <w:tabs>
          <w:tab w:val="right" w:leader="dot" w:pos="9026"/>
        </w:tabs>
        <w:spacing w:after="60"/>
        <w:ind w:left="360"/>
      </w:pPr>
      <w:hyperlink w:anchor="chap11" w:history="1">
        <w:r w:rsidRPr="00C06A12">
          <w:rPr>
            <w:color w:val="262626"/>
            <w:sz w:val="21"/>
            <w:szCs w:val="21"/>
          </w:rPr>
          <w:t>Chapitre 11 — Préfinancements</w:t>
        </w:r>
      </w:hyperlink>
    </w:p>
    <w:p w14:paraId="452A132F" w14:textId="77777777" w:rsidR="001B4C95" w:rsidRPr="00C06A12" w:rsidRDefault="00000000">
      <w:pPr>
        <w:tabs>
          <w:tab w:val="right" w:leader="dot" w:pos="9026"/>
        </w:tabs>
        <w:spacing w:after="60"/>
        <w:ind w:left="360"/>
      </w:pPr>
      <w:hyperlink w:anchor="chap12" w:history="1">
        <w:r w:rsidRPr="00C06A12">
          <w:rPr>
            <w:color w:val="262626"/>
            <w:sz w:val="21"/>
            <w:szCs w:val="21"/>
          </w:rPr>
          <w:t>Chapitre 12 — Factoring</w:t>
        </w:r>
      </w:hyperlink>
    </w:p>
    <w:p w14:paraId="7A2ED55A" w14:textId="77777777" w:rsidR="001B4C95" w:rsidRPr="00C06A12" w:rsidRDefault="00000000">
      <w:pPr>
        <w:tabs>
          <w:tab w:val="right" w:leader="dot" w:pos="9026"/>
        </w:tabs>
        <w:spacing w:after="60"/>
        <w:ind w:left="360"/>
      </w:pPr>
      <w:hyperlink w:anchor="chap13" w:history="1">
        <w:r w:rsidRPr="00C06A12">
          <w:rPr>
            <w:color w:val="262626"/>
            <w:sz w:val="21"/>
            <w:szCs w:val="21"/>
          </w:rPr>
          <w:t>Chapitre 13 — Droits Constatés</w:t>
        </w:r>
      </w:hyperlink>
    </w:p>
    <w:p w14:paraId="71BBD162" w14:textId="77777777" w:rsidR="001B4C95" w:rsidRPr="00C06A12" w:rsidRDefault="00000000">
      <w:pPr>
        <w:spacing w:before="200" w:after="100"/>
      </w:pPr>
      <w:r w:rsidRPr="00C06A12">
        <w:rPr>
          <w:b/>
          <w:bCs/>
          <w:color w:val="2E5395"/>
        </w:rPr>
        <w:t>Moyens de paiement</w:t>
      </w:r>
    </w:p>
    <w:p w14:paraId="4D5C87D3" w14:textId="77777777" w:rsidR="001B4C95" w:rsidRPr="00C06A12" w:rsidRDefault="00000000">
      <w:pPr>
        <w:tabs>
          <w:tab w:val="right" w:leader="dot" w:pos="9026"/>
        </w:tabs>
        <w:spacing w:after="60"/>
        <w:ind w:left="360"/>
      </w:pPr>
      <w:hyperlink w:anchor="chap14" w:history="1">
        <w:r w:rsidRPr="00C06A12">
          <w:rPr>
            <w:color w:val="262626"/>
            <w:sz w:val="21"/>
            <w:szCs w:val="21"/>
          </w:rPr>
          <w:t>Chapitre 14 — Chèques</w:t>
        </w:r>
      </w:hyperlink>
    </w:p>
    <w:p w14:paraId="71D380CB" w14:textId="77777777" w:rsidR="001B4C95" w:rsidRPr="00C06A12" w:rsidRDefault="00000000">
      <w:pPr>
        <w:tabs>
          <w:tab w:val="right" w:leader="dot" w:pos="9026"/>
        </w:tabs>
        <w:spacing w:after="60"/>
        <w:ind w:left="360"/>
      </w:pPr>
      <w:hyperlink w:anchor="chap15" w:history="1">
        <w:r w:rsidRPr="00C06A12">
          <w:rPr>
            <w:color w:val="262626"/>
            <w:sz w:val="21"/>
            <w:szCs w:val="21"/>
          </w:rPr>
          <w:t>Chapitre 15 — LCN</w:t>
        </w:r>
      </w:hyperlink>
    </w:p>
    <w:p w14:paraId="5A00CF1A" w14:textId="77777777" w:rsidR="001B4C95" w:rsidRPr="00C06A12" w:rsidRDefault="00000000">
      <w:pPr>
        <w:tabs>
          <w:tab w:val="right" w:leader="dot" w:pos="9026"/>
        </w:tabs>
        <w:spacing w:after="60"/>
        <w:ind w:left="360"/>
      </w:pPr>
      <w:hyperlink w:anchor="chap16" w:history="1">
        <w:r w:rsidRPr="00C06A12">
          <w:rPr>
            <w:color w:val="262626"/>
            <w:sz w:val="21"/>
            <w:szCs w:val="21"/>
          </w:rPr>
          <w:t>Chapitre 16 — Virements</w:t>
        </w:r>
      </w:hyperlink>
    </w:p>
    <w:p w14:paraId="6C15ECE3" w14:textId="77777777" w:rsidR="001B4C95" w:rsidRPr="00C06A12" w:rsidRDefault="00000000">
      <w:pPr>
        <w:tabs>
          <w:tab w:val="right" w:leader="dot" w:pos="9026"/>
        </w:tabs>
        <w:spacing w:after="60"/>
        <w:ind w:left="360"/>
      </w:pPr>
      <w:hyperlink w:anchor="chap17" w:history="1">
        <w:r w:rsidRPr="00C06A12">
          <w:rPr>
            <w:color w:val="262626"/>
            <w:sz w:val="21"/>
            <w:szCs w:val="21"/>
          </w:rPr>
          <w:t>Chapitre 17 — Virements Internationaux</w:t>
        </w:r>
      </w:hyperlink>
    </w:p>
    <w:p w14:paraId="202DB581" w14:textId="77777777" w:rsidR="001B4C95" w:rsidRPr="00C06A12" w:rsidRDefault="00000000">
      <w:pPr>
        <w:tabs>
          <w:tab w:val="right" w:leader="dot" w:pos="9026"/>
        </w:tabs>
        <w:spacing w:after="60"/>
        <w:ind w:left="360"/>
      </w:pPr>
      <w:hyperlink w:anchor="chap18" w:history="1">
        <w:r w:rsidRPr="00C06A12">
          <w:rPr>
            <w:color w:val="262626"/>
            <w:sz w:val="21"/>
            <w:szCs w:val="21"/>
          </w:rPr>
          <w:t>Chapitre 18 — Mises à Disposition</w:t>
        </w:r>
      </w:hyperlink>
    </w:p>
    <w:p w14:paraId="1498E537" w14:textId="77777777" w:rsidR="001B4C95" w:rsidRPr="00C06A12" w:rsidRDefault="00000000">
      <w:pPr>
        <w:tabs>
          <w:tab w:val="right" w:leader="dot" w:pos="9026"/>
        </w:tabs>
        <w:spacing w:after="60"/>
        <w:ind w:left="360"/>
      </w:pPr>
      <w:hyperlink w:anchor="chap19" w:history="1">
        <w:r w:rsidRPr="00C06A12">
          <w:rPr>
            <w:color w:val="262626"/>
            <w:sz w:val="21"/>
            <w:szCs w:val="21"/>
          </w:rPr>
          <w:t>Chapitre 19 — Prélèvements</w:t>
        </w:r>
      </w:hyperlink>
    </w:p>
    <w:p w14:paraId="489E302B" w14:textId="77777777" w:rsidR="001B4C95" w:rsidRPr="00C06A12" w:rsidRDefault="00000000">
      <w:pPr>
        <w:spacing w:before="200" w:after="100"/>
      </w:pPr>
      <w:r w:rsidRPr="00C06A12">
        <w:rPr>
          <w:b/>
          <w:bCs/>
          <w:color w:val="2E5395"/>
        </w:rPr>
        <w:t>Transactions</w:t>
      </w:r>
    </w:p>
    <w:p w14:paraId="77AABC82" w14:textId="77777777" w:rsidR="001B4C95" w:rsidRPr="00C06A12" w:rsidRDefault="00000000">
      <w:pPr>
        <w:tabs>
          <w:tab w:val="right" w:leader="dot" w:pos="9026"/>
        </w:tabs>
        <w:spacing w:after="60"/>
        <w:ind w:left="360"/>
      </w:pPr>
      <w:hyperlink w:anchor="chap20" w:history="1">
        <w:r w:rsidRPr="00C06A12">
          <w:rPr>
            <w:color w:val="262626"/>
            <w:sz w:val="21"/>
            <w:szCs w:val="21"/>
          </w:rPr>
          <w:t>Chapitre 20 — Transactions</w:t>
        </w:r>
      </w:hyperlink>
    </w:p>
    <w:p w14:paraId="6C0EADBA" w14:textId="77777777" w:rsidR="001B4C95" w:rsidRPr="00C06A12" w:rsidRDefault="00000000">
      <w:pPr>
        <w:spacing w:before="200" w:after="100"/>
      </w:pPr>
      <w:r w:rsidRPr="00C06A12">
        <w:rPr>
          <w:b/>
          <w:bCs/>
          <w:color w:val="2E5395"/>
        </w:rPr>
        <w:t>Charges appliquées</w:t>
      </w:r>
    </w:p>
    <w:p w14:paraId="0A2BA4FF" w14:textId="77777777" w:rsidR="001B4C95" w:rsidRPr="00C06A12" w:rsidRDefault="00000000">
      <w:pPr>
        <w:tabs>
          <w:tab w:val="right" w:leader="dot" w:pos="9026"/>
        </w:tabs>
        <w:spacing w:after="60"/>
        <w:ind w:left="360"/>
      </w:pPr>
      <w:hyperlink w:anchor="chap21" w:history="1">
        <w:r w:rsidRPr="00C06A12">
          <w:rPr>
            <w:color w:val="262626"/>
            <w:sz w:val="21"/>
            <w:szCs w:val="21"/>
          </w:rPr>
          <w:t>Chapitre 21 — Frais bancaires</w:t>
        </w:r>
      </w:hyperlink>
    </w:p>
    <w:p w14:paraId="476577D1" w14:textId="77777777" w:rsidR="001B4C95" w:rsidRPr="00C06A12" w:rsidRDefault="00000000">
      <w:pPr>
        <w:tabs>
          <w:tab w:val="right" w:leader="dot" w:pos="9026"/>
        </w:tabs>
        <w:spacing w:after="60"/>
        <w:ind w:left="360"/>
      </w:pPr>
      <w:hyperlink w:anchor="chap22" w:history="1">
        <w:r w:rsidRPr="00C06A12">
          <w:rPr>
            <w:color w:val="262626"/>
            <w:sz w:val="21"/>
            <w:szCs w:val="21"/>
          </w:rPr>
          <w:t>Chapitre 22 — Agios bancaires</w:t>
        </w:r>
      </w:hyperlink>
    </w:p>
    <w:p w14:paraId="1AB27B13" w14:textId="77777777" w:rsidR="001B4C95" w:rsidRPr="00C06A12" w:rsidRDefault="00000000">
      <w:pPr>
        <w:tabs>
          <w:tab w:val="right" w:leader="dot" w:pos="9026"/>
        </w:tabs>
        <w:spacing w:after="60"/>
        <w:ind w:left="360"/>
      </w:pPr>
      <w:hyperlink w:anchor="chap23" w:history="1">
        <w:r w:rsidRPr="00C06A12">
          <w:rPr>
            <w:color w:val="262626"/>
            <w:sz w:val="21"/>
            <w:szCs w:val="21"/>
          </w:rPr>
          <w:t>Chapitre 23 — Impôts et Taxes</w:t>
        </w:r>
      </w:hyperlink>
    </w:p>
    <w:p w14:paraId="4C283BD4" w14:textId="77777777" w:rsidR="001B4C95" w:rsidRPr="00C06A12" w:rsidRDefault="00000000">
      <w:pPr>
        <w:tabs>
          <w:tab w:val="right" w:leader="dot" w:pos="9026"/>
        </w:tabs>
        <w:spacing w:after="60"/>
        <w:ind w:left="360"/>
      </w:pPr>
      <w:hyperlink w:anchor="chap24" w:history="1">
        <w:r w:rsidRPr="00C06A12">
          <w:rPr>
            <w:color w:val="262626"/>
            <w:sz w:val="21"/>
            <w:szCs w:val="21"/>
          </w:rPr>
          <w:t>Chapitre 24 — Commissions bancaires</w:t>
        </w:r>
      </w:hyperlink>
    </w:p>
    <w:p w14:paraId="3E8C0922" w14:textId="77777777" w:rsidR="001B4C95" w:rsidRPr="00C06A12" w:rsidRDefault="00000000">
      <w:pPr>
        <w:spacing w:before="200" w:after="100"/>
      </w:pPr>
      <w:r w:rsidRPr="00C06A12">
        <w:rPr>
          <w:b/>
          <w:bCs/>
          <w:color w:val="2E5395"/>
        </w:rPr>
        <w:t>Anomalies</w:t>
      </w:r>
    </w:p>
    <w:p w14:paraId="1D474461" w14:textId="77777777" w:rsidR="001B4C95" w:rsidRPr="00C06A12" w:rsidRDefault="00000000">
      <w:pPr>
        <w:tabs>
          <w:tab w:val="right" w:leader="dot" w:pos="9026"/>
        </w:tabs>
        <w:spacing w:after="60"/>
        <w:ind w:left="360"/>
      </w:pPr>
      <w:hyperlink w:anchor="chap25" w:history="1">
        <w:r w:rsidRPr="00C06A12">
          <w:rPr>
            <w:color w:val="262626"/>
            <w:sz w:val="21"/>
            <w:szCs w:val="21"/>
          </w:rPr>
          <w:t>Chapitre 25 — Impayées</w:t>
        </w:r>
      </w:hyperlink>
    </w:p>
    <w:p w14:paraId="52170DB6" w14:textId="77777777" w:rsidR="001B4C95" w:rsidRPr="00C06A12" w:rsidRDefault="00000000">
      <w:pPr>
        <w:tabs>
          <w:tab w:val="right" w:leader="dot" w:pos="9026"/>
        </w:tabs>
        <w:spacing w:after="60"/>
        <w:ind w:left="360"/>
      </w:pPr>
      <w:hyperlink w:anchor="chap26" w:history="1">
        <w:r w:rsidRPr="00C06A12">
          <w:rPr>
            <w:color w:val="262626"/>
            <w:sz w:val="21"/>
            <w:szCs w:val="21"/>
          </w:rPr>
          <w:t>Chapitre 26 — Opérations Erronées</w:t>
        </w:r>
      </w:hyperlink>
    </w:p>
    <w:p w14:paraId="5975DC1A" w14:textId="77777777" w:rsidR="001B4C95" w:rsidRPr="00C06A12" w:rsidRDefault="00000000">
      <w:pPr>
        <w:tabs>
          <w:tab w:val="right" w:leader="dot" w:pos="9026"/>
        </w:tabs>
        <w:spacing w:after="60"/>
        <w:ind w:left="360"/>
      </w:pPr>
      <w:hyperlink w:anchor="chap27" w:history="1">
        <w:r w:rsidRPr="00C06A12">
          <w:rPr>
            <w:color w:val="262626"/>
            <w:sz w:val="21"/>
            <w:szCs w:val="21"/>
          </w:rPr>
          <w:t>Chapitre 27 — Restitution</w:t>
        </w:r>
      </w:hyperlink>
    </w:p>
    <w:p w14:paraId="1989BB3F" w14:textId="77777777" w:rsidR="001B4C95" w:rsidRPr="00C06A12" w:rsidRDefault="00000000">
      <w:pPr>
        <w:spacing w:before="200" w:after="100"/>
      </w:pPr>
      <w:r w:rsidRPr="00C06A12">
        <w:rPr>
          <w:b/>
          <w:bCs/>
          <w:color w:val="2E5395"/>
        </w:rPr>
        <w:t>Rapprochement</w:t>
      </w:r>
    </w:p>
    <w:p w14:paraId="53E125A5" w14:textId="77777777" w:rsidR="001B4C95" w:rsidRPr="00C06A12" w:rsidRDefault="00000000">
      <w:pPr>
        <w:tabs>
          <w:tab w:val="right" w:leader="dot" w:pos="9026"/>
        </w:tabs>
        <w:spacing w:after="60"/>
        <w:ind w:left="360"/>
      </w:pPr>
      <w:hyperlink w:anchor="chap28" w:history="1">
        <w:r w:rsidRPr="00C06A12">
          <w:rPr>
            <w:color w:val="262626"/>
            <w:sz w:val="21"/>
            <w:szCs w:val="21"/>
          </w:rPr>
          <w:t>Chapitre 28 — Rapprochement</w:t>
        </w:r>
      </w:hyperlink>
    </w:p>
    <w:p w14:paraId="7F6E08E6" w14:textId="77777777" w:rsidR="001B4C95" w:rsidRPr="00C06A12" w:rsidRDefault="00000000">
      <w:pPr>
        <w:spacing w:before="200" w:after="100"/>
      </w:pPr>
      <w:r w:rsidRPr="00C06A12">
        <w:rPr>
          <w:b/>
          <w:bCs/>
          <w:color w:val="2E5395"/>
        </w:rPr>
        <w:t>États des encours / Récapitulatif</w:t>
      </w:r>
    </w:p>
    <w:p w14:paraId="3B585737" w14:textId="77777777" w:rsidR="001B4C95" w:rsidRPr="00C06A12" w:rsidRDefault="00000000">
      <w:pPr>
        <w:tabs>
          <w:tab w:val="right" w:leader="dot" w:pos="9026"/>
        </w:tabs>
        <w:spacing w:after="60"/>
        <w:ind w:left="360"/>
      </w:pPr>
      <w:hyperlink w:anchor="chap29" w:history="1">
        <w:r w:rsidRPr="00C06A12">
          <w:rPr>
            <w:color w:val="262626"/>
            <w:sz w:val="21"/>
            <w:szCs w:val="21"/>
          </w:rPr>
          <w:t>Chapitre 29 — États des encours et Récapitulatif</w:t>
        </w:r>
      </w:hyperlink>
    </w:p>
    <w:p w14:paraId="4716B5F7" w14:textId="77777777" w:rsidR="001B4C95" w:rsidRPr="00C06A12" w:rsidRDefault="00000000">
      <w:pPr>
        <w:spacing w:before="200" w:after="100"/>
      </w:pPr>
      <w:r w:rsidRPr="00C06A12">
        <w:rPr>
          <w:b/>
          <w:bCs/>
          <w:color w:val="2E5395"/>
        </w:rPr>
        <w:t>Transverse</w:t>
      </w:r>
    </w:p>
    <w:p w14:paraId="4D4FAE87" w14:textId="77777777" w:rsidR="001B4C95" w:rsidRPr="00C06A12" w:rsidRDefault="00000000">
      <w:pPr>
        <w:tabs>
          <w:tab w:val="right" w:leader="dot" w:pos="9026"/>
        </w:tabs>
        <w:spacing w:after="60"/>
        <w:ind w:left="360"/>
      </w:pPr>
      <w:hyperlink w:anchor="chap30" w:history="1">
        <w:r w:rsidRPr="00C06A12">
          <w:rPr>
            <w:color w:val="262626"/>
            <w:sz w:val="21"/>
            <w:szCs w:val="21"/>
          </w:rPr>
          <w:t>Chapitre 30 — Logs</w:t>
        </w:r>
      </w:hyperlink>
    </w:p>
    <w:p w14:paraId="04E75D2B" w14:textId="77777777" w:rsidR="001B4C95" w:rsidRPr="00C06A12" w:rsidRDefault="00000000">
      <w:pPr>
        <w:tabs>
          <w:tab w:val="right" w:leader="dot" w:pos="9026"/>
        </w:tabs>
        <w:spacing w:after="60"/>
        <w:ind w:left="360"/>
      </w:pPr>
      <w:hyperlink w:anchor="chap31" w:history="1">
        <w:r w:rsidRPr="00C06A12">
          <w:rPr>
            <w:color w:val="262626"/>
            <w:sz w:val="21"/>
            <w:szCs w:val="21"/>
          </w:rPr>
          <w:t>Chapitre 31 — Notifications</w:t>
        </w:r>
      </w:hyperlink>
    </w:p>
    <w:p w14:paraId="3AEDF238" w14:textId="77777777" w:rsidR="001B4C95" w:rsidRPr="00C06A12" w:rsidRDefault="00000000">
      <w:r w:rsidRPr="00C06A12">
        <w:br w:type="page"/>
      </w:r>
    </w:p>
    <w:p w14:paraId="55721FA4" w14:textId="77777777" w:rsidR="001B4C95" w:rsidRPr="00C06A12" w:rsidRDefault="00000000">
      <w:pPr>
        <w:pStyle w:val="Titre1"/>
        <w:pBdr>
          <w:bottom w:val="single" w:sz="8" w:space="8" w:color="B08D57"/>
        </w:pBdr>
        <w:spacing w:after="240"/>
        <w:rPr>
          <w:lang w:val="fr-FR"/>
        </w:rPr>
      </w:pPr>
      <w:r w:rsidRPr="00C06A12">
        <w:rPr>
          <w:lang w:val="fr-FR"/>
        </w:rPr>
        <w:lastRenderedPageBreak/>
        <w:t>Introduction</w:t>
      </w:r>
    </w:p>
    <w:p w14:paraId="1634B37E" w14:textId="77777777" w:rsidR="001B4C95" w:rsidRPr="00C06A12" w:rsidRDefault="00000000">
      <w:pPr>
        <w:spacing w:after="200" w:line="288" w:lineRule="auto"/>
        <w:jc w:val="both"/>
      </w:pPr>
      <w:r w:rsidRPr="00C06A12">
        <w:t>Ce document est la synthèse direction complète de G-Banque, le système de gestion et de suivi des opérations bancaires internes de Staport. Il consolide en un seul récit les notes de valeur de chaque module de l’application, organisées pour montrer comment G-Banque construit, module après module, une maîtrise complète des opérations bancaires de l’entreprise – des accès qui la protègent jusqu’aux rapports qui l’éclairent.</w:t>
      </w:r>
    </w:p>
    <w:p w14:paraId="7ED6A53D" w14:textId="5D5F38EB" w:rsidR="001B4C95" w:rsidRPr="00C06A12" w:rsidRDefault="00000000">
      <w:pPr>
        <w:spacing w:after="200" w:line="288" w:lineRule="auto"/>
        <w:jc w:val="both"/>
      </w:pPr>
      <w:r w:rsidRPr="00C06A12">
        <w:t xml:space="preserve">Ce document présente, chapitre après chapitre, la valeur apportée par chacun des trente et </w:t>
      </w:r>
      <w:r w:rsidR="004346C7" w:rsidRPr="00C06A12">
        <w:t>un module</w:t>
      </w:r>
      <w:r w:rsidRPr="00C06A12">
        <w:t xml:space="preserve"> de G-Banque : ce que le module résout pour Staport, et ce que le système apporte concrètement à l'équipe Finance et à la direction. Il est organisé selon le parcours naturel de l'information bancaire au sein de l'entreprise — du socle d'accès jusqu'aux fonctions transverses de traçabilité et de notification — afin d'offrir une lecture cohérente de bout en bout.</w:t>
      </w:r>
    </w:p>
    <w:p w14:paraId="0B8E0568" w14:textId="77777777" w:rsidR="001B4C95" w:rsidRPr="00C06A12" w:rsidRDefault="00000000">
      <w:r w:rsidRPr="00C06A12">
        <w:br w:type="page"/>
      </w:r>
    </w:p>
    <w:p w14:paraId="62721E27" w14:textId="77777777" w:rsidR="001B4C95" w:rsidRPr="00C06A12" w:rsidRDefault="001B4C95">
      <w:pPr>
        <w:pageBreakBefore/>
      </w:pPr>
    </w:p>
    <w:p w14:paraId="4EFBA0EC" w14:textId="77777777" w:rsidR="001B4C95" w:rsidRPr="00C06A12" w:rsidRDefault="00000000">
      <w:pPr>
        <w:pStyle w:val="Titre1"/>
        <w:pBdr>
          <w:bottom w:val="single" w:sz="8" w:space="8" w:color="B08D57"/>
        </w:pBdr>
        <w:spacing w:after="240"/>
        <w:rPr>
          <w:lang w:val="fr-FR"/>
        </w:rPr>
      </w:pPr>
      <w:bookmarkStart w:id="0" w:name="chap1"/>
      <w:r w:rsidRPr="00C06A12">
        <w:rPr>
          <w:lang w:val="fr-FR"/>
        </w:rPr>
        <w:t>Chapitre 1 – Authentification</w:t>
      </w:r>
      <w:bookmarkEnd w:id="0"/>
    </w:p>
    <w:p w14:paraId="26596703" w14:textId="77777777" w:rsidR="001B4C95" w:rsidRPr="00C06A12" w:rsidRDefault="00000000">
      <w:pPr>
        <w:pStyle w:val="Titre2"/>
        <w:spacing w:before="280" w:after="140"/>
        <w:rPr>
          <w:lang w:val="fr-FR"/>
        </w:rPr>
      </w:pPr>
      <w:r w:rsidRPr="00C06A12">
        <w:rPr>
          <w:lang w:val="fr-FR"/>
        </w:rPr>
        <w:t>Ce que ce module résout</w:t>
      </w:r>
    </w:p>
    <w:p w14:paraId="4ED1996F" w14:textId="77777777" w:rsidR="001B4C95" w:rsidRPr="00C06A12" w:rsidRDefault="00000000">
      <w:pPr>
        <w:spacing w:after="200" w:line="288" w:lineRule="auto"/>
        <w:jc w:val="both"/>
      </w:pPr>
      <w:r w:rsidRPr="00C06A12">
        <w:t>G-Banque centralise et protège l’accès à l’ensemble des données financières de Staport derrière un point d’entrée unique et sécurisé. Chaque collaborateur est identifié, chaque accès est contrôlé selon son profil, et chaque action réalisée dans l’application est tracée – un socle de confiance indispensable pour un système qui pilote les comptes bancaires, les crédits et les paiements de l’entreprise.</w:t>
      </w:r>
    </w:p>
    <w:p w14:paraId="59F80BC4" w14:textId="77777777" w:rsidR="001B4C95" w:rsidRPr="00C06A12" w:rsidRDefault="00000000">
      <w:pPr>
        <w:pStyle w:val="Titre2"/>
        <w:spacing w:before="280" w:after="140"/>
        <w:rPr>
          <w:lang w:val="fr-FR"/>
        </w:rPr>
      </w:pPr>
      <w:r w:rsidRPr="00C06A12">
        <w:rPr>
          <w:lang w:val="fr-FR"/>
        </w:rPr>
        <w:t>Ce que le système apporte</w:t>
      </w:r>
    </w:p>
    <w:p w14:paraId="1BE8533E" w14:textId="03FDB958" w:rsidR="001B4C95" w:rsidRPr="00C06A12" w:rsidRDefault="00000000">
      <w:pPr>
        <w:pStyle w:val="Paragraphedeliste"/>
        <w:numPr>
          <w:ilvl w:val="0"/>
          <w:numId w:val="2"/>
        </w:numPr>
        <w:spacing w:after="120" w:line="276" w:lineRule="auto"/>
        <w:jc w:val="both"/>
        <w:rPr>
          <w:lang w:val="fr-FR"/>
        </w:rPr>
      </w:pPr>
      <w:r w:rsidRPr="00C06A12">
        <w:rPr>
          <w:b/>
          <w:bCs/>
          <w:lang w:val="fr-FR"/>
        </w:rPr>
        <w:t>Contrôle d’accès automatique par profil</w:t>
      </w:r>
      <w:r w:rsidRPr="00C06A12">
        <w:rPr>
          <w:lang w:val="fr-FR"/>
        </w:rPr>
        <w:t xml:space="preserve"> : chaque collaborateur ne voit que ce que son profil </w:t>
      </w:r>
      <w:r w:rsidR="004346C7" w:rsidRPr="00C06A12">
        <w:rPr>
          <w:lang w:val="fr-FR"/>
        </w:rPr>
        <w:t>autorise.</w:t>
      </w:r>
      <w:r w:rsidRPr="00C06A12">
        <w:rPr>
          <w:lang w:val="fr-FR"/>
        </w:rPr>
        <w:t xml:space="preserve"> Périmètre protégé : l’intégralité de G-Banque, aucune page accessible sans authentification.</w:t>
      </w:r>
    </w:p>
    <w:p w14:paraId="3ACE40B9"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Révocation immédiate</w:t>
      </w:r>
      <w:r w:rsidRPr="00C06A12">
        <w:rPr>
          <w:lang w:val="fr-FR"/>
        </w:rPr>
        <w:t xml:space="preserve"> : un accès peut être désactivé en quelques secondes depuis l’interface (départ, changement de poste) – supprime le délai de révocation et le risque de comptes non désactivés après une longue absence.</w:t>
      </w:r>
    </w:p>
    <w:p w14:paraId="1595D2D3"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Traçabilité complète</w:t>
      </w:r>
      <w:r w:rsidRPr="00C06A12">
        <w:rPr>
          <w:lang w:val="fr-FR"/>
        </w:rPr>
        <w:t xml:space="preserve"> : chaque action réalisée dans G-Banque est associée à un utilisateur identifié, consultable à tout moment – élimine l’impossibilité de savoir qui a modifié une donnée en cas de litige.</w:t>
      </w:r>
    </w:p>
    <w:p w14:paraId="2FC5A56C"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Profils et droits</w:t>
      </w:r>
      <w:r w:rsidRPr="00C06A12">
        <w:rPr>
          <w:lang w:val="fr-FR"/>
        </w:rPr>
        <w:t xml:space="preserve"> : administrateur système (transversal) et profils métier organisés par département, avec deux rôles cumulables par département (Membre, Directeur).</w:t>
      </w:r>
    </w:p>
    <w:p w14:paraId="4C67DFA0" w14:textId="77777777" w:rsidR="001B4C95" w:rsidRPr="00C06A12" w:rsidRDefault="001B4C95">
      <w:pPr>
        <w:pageBreakBefore/>
      </w:pPr>
    </w:p>
    <w:p w14:paraId="47FACA3A" w14:textId="77777777" w:rsidR="001B4C95" w:rsidRPr="00C06A12" w:rsidRDefault="00000000">
      <w:pPr>
        <w:pStyle w:val="Titre1"/>
        <w:pBdr>
          <w:bottom w:val="single" w:sz="8" w:space="8" w:color="B08D57"/>
        </w:pBdr>
        <w:spacing w:after="240"/>
        <w:rPr>
          <w:lang w:val="fr-FR"/>
        </w:rPr>
      </w:pPr>
      <w:bookmarkStart w:id="1" w:name="chap2"/>
      <w:r w:rsidRPr="00C06A12">
        <w:rPr>
          <w:lang w:val="fr-FR"/>
        </w:rPr>
        <w:t>Chapitre 2 – Gestion des départements</w:t>
      </w:r>
      <w:bookmarkEnd w:id="1"/>
    </w:p>
    <w:p w14:paraId="7B2CE962" w14:textId="77777777" w:rsidR="001B4C95" w:rsidRPr="00C06A12" w:rsidRDefault="00000000">
      <w:pPr>
        <w:pStyle w:val="Titre2"/>
        <w:spacing w:before="280" w:after="140"/>
        <w:rPr>
          <w:lang w:val="fr-FR"/>
        </w:rPr>
      </w:pPr>
      <w:r w:rsidRPr="00C06A12">
        <w:rPr>
          <w:lang w:val="fr-FR"/>
        </w:rPr>
        <w:t>Ce que ce module résout</w:t>
      </w:r>
    </w:p>
    <w:p w14:paraId="05025E66" w14:textId="77777777" w:rsidR="001B4C95" w:rsidRPr="00C06A12" w:rsidRDefault="00000000">
      <w:pPr>
        <w:spacing w:after="200" w:line="288" w:lineRule="auto"/>
        <w:jc w:val="both"/>
      </w:pPr>
      <w:r w:rsidRPr="00C06A12">
        <w:t>La structure organisationnelle de Staport évolue avec le temps : nouvelles fonctions, réorganisations, création de pôles. G-Banque rend cette structure entièrement pilotable depuis l’interface d’administration, sans aucune intervention technique – les droits d’accès de chaque collaborateur suivent automatiquement l’organisation réelle de l’entreprise.</w:t>
      </w:r>
    </w:p>
    <w:p w14:paraId="46EC2407" w14:textId="77777777" w:rsidR="001B4C95" w:rsidRPr="00C06A12" w:rsidRDefault="00000000">
      <w:pPr>
        <w:pStyle w:val="Titre2"/>
        <w:spacing w:before="280" w:after="140"/>
        <w:rPr>
          <w:lang w:val="fr-FR"/>
        </w:rPr>
      </w:pPr>
      <w:r w:rsidRPr="00C06A12">
        <w:rPr>
          <w:lang w:val="fr-FR"/>
        </w:rPr>
        <w:t>Ce que le système apporte</w:t>
      </w:r>
    </w:p>
    <w:p w14:paraId="6C2F0A7D"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Création en autonomie</w:t>
      </w:r>
      <w:r w:rsidRPr="00C06A12">
        <w:rPr>
          <w:lang w:val="fr-FR"/>
        </w:rPr>
        <w:t xml:space="preserve"> : ajouter un département prend moins d’une minute depuis l’interface.</w:t>
      </w:r>
    </w:p>
    <w:p w14:paraId="63B25777" w14:textId="43A13A81" w:rsidR="001B4C95" w:rsidRPr="00C06A12" w:rsidRDefault="00000000">
      <w:pPr>
        <w:pStyle w:val="Paragraphedeliste"/>
        <w:numPr>
          <w:ilvl w:val="0"/>
          <w:numId w:val="2"/>
        </w:numPr>
        <w:spacing w:after="120" w:line="276" w:lineRule="auto"/>
        <w:jc w:val="both"/>
        <w:rPr>
          <w:lang w:val="fr-FR"/>
        </w:rPr>
      </w:pPr>
      <w:r w:rsidRPr="00C06A12">
        <w:rPr>
          <w:b/>
          <w:bCs/>
          <w:lang w:val="fr-FR"/>
        </w:rPr>
        <w:t>Droits automatiquement liés à l’organisation</w:t>
      </w:r>
      <w:r w:rsidRPr="00C06A12">
        <w:rPr>
          <w:lang w:val="fr-FR"/>
        </w:rPr>
        <w:t xml:space="preserve"> : dès qu’un collaborateur est rattaché à un département, ses droits sont configurés selon son rôle (Membre ou </w:t>
      </w:r>
      <w:r w:rsidR="004346C7" w:rsidRPr="00C06A12">
        <w:rPr>
          <w:lang w:val="fr-FR"/>
        </w:rPr>
        <w:t>Directeur)</w:t>
      </w:r>
    </w:p>
    <w:p w14:paraId="4BD26C63"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Aucune limite</w:t>
      </w:r>
      <w:r w:rsidRPr="00C06A12">
        <w:rPr>
          <w:lang w:val="fr-FR"/>
        </w:rPr>
        <w:t xml:space="preserve"> : le nombre de départements n’est pas limité ; la structure organisationnelle reste entièrement modifiable depuis l’administration, réservée à l’administrateur système.</w:t>
      </w:r>
    </w:p>
    <w:p w14:paraId="6294EAFA" w14:textId="77777777" w:rsidR="001B4C95" w:rsidRPr="00C06A12" w:rsidRDefault="001B4C95">
      <w:pPr>
        <w:pageBreakBefore/>
      </w:pPr>
    </w:p>
    <w:p w14:paraId="060770EF" w14:textId="77777777" w:rsidR="001B4C95" w:rsidRPr="00C06A12" w:rsidRDefault="00000000">
      <w:pPr>
        <w:pStyle w:val="Titre1"/>
        <w:pBdr>
          <w:bottom w:val="single" w:sz="8" w:space="8" w:color="B08D57"/>
        </w:pBdr>
        <w:spacing w:after="240"/>
        <w:rPr>
          <w:lang w:val="fr-FR"/>
        </w:rPr>
      </w:pPr>
      <w:bookmarkStart w:id="2" w:name="chap3"/>
      <w:r w:rsidRPr="00C06A12">
        <w:rPr>
          <w:lang w:val="fr-FR"/>
        </w:rPr>
        <w:t>Chapitre 3 – Gestion des utilisateurs</w:t>
      </w:r>
      <w:bookmarkEnd w:id="2"/>
    </w:p>
    <w:p w14:paraId="66843AD1" w14:textId="77777777" w:rsidR="001B4C95" w:rsidRPr="00C06A12" w:rsidRDefault="00000000">
      <w:pPr>
        <w:pStyle w:val="Titre2"/>
        <w:spacing w:before="280" w:after="140"/>
        <w:rPr>
          <w:lang w:val="fr-FR"/>
        </w:rPr>
      </w:pPr>
      <w:r w:rsidRPr="00C06A12">
        <w:rPr>
          <w:lang w:val="fr-FR"/>
        </w:rPr>
        <w:t>Ce que ce module résout</w:t>
      </w:r>
    </w:p>
    <w:p w14:paraId="79D15464" w14:textId="77777777" w:rsidR="001B4C95" w:rsidRPr="00C06A12" w:rsidRDefault="00000000">
      <w:pPr>
        <w:spacing w:after="200" w:line="288" w:lineRule="auto"/>
        <w:jc w:val="both"/>
      </w:pPr>
      <w:r w:rsidRPr="00C06A12">
        <w:t>G-Banque donne à l’administrateur système un contrôle complet et instantané sur les accès de chaque collaborateur de Staport, directement depuis l’interface – création de compte, attribution de droits, désactivation en cas de départ, sans passer par une intervention IT séparée.</w:t>
      </w:r>
    </w:p>
    <w:p w14:paraId="6E9F72D1" w14:textId="77777777" w:rsidR="001B4C95" w:rsidRPr="00C06A12" w:rsidRDefault="00000000">
      <w:pPr>
        <w:pStyle w:val="Titre2"/>
        <w:spacing w:before="280" w:after="140"/>
        <w:rPr>
          <w:lang w:val="fr-FR"/>
        </w:rPr>
      </w:pPr>
      <w:r w:rsidRPr="00C06A12">
        <w:rPr>
          <w:lang w:val="fr-FR"/>
        </w:rPr>
        <w:t>Ce que le système apporte</w:t>
      </w:r>
    </w:p>
    <w:p w14:paraId="7604AABE"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Contrôle total en temps réel</w:t>
      </w:r>
      <w:r w:rsidRPr="00C06A12">
        <w:rPr>
          <w:lang w:val="fr-FR"/>
        </w:rPr>
        <w:t xml:space="preserve"> : modification des droits d’un collaborateur en quelques secondes ; désactivation immédiate et visible d’un compte au départ de l’entreprise – élimine tout accès conservé après un départ ou un changement de poste, sans dépendre de l’équipe IT.</w:t>
      </w:r>
    </w:p>
    <w:p w14:paraId="2C172DBD"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Sécurité par défaut</w:t>
      </w:r>
      <w:r w:rsidRPr="00C06A12">
        <w:rPr>
          <w:lang w:val="fr-FR"/>
        </w:rPr>
        <w:t xml:space="preserve"> : tout nouveau compte est créé sans aucun droit d’accès, à accorder explicitement – élimine le risque qu’un nouveau collaborateur accède par inadvertance à des données sensibles.</w:t>
      </w:r>
    </w:p>
    <w:p w14:paraId="10428919"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Traçabilité complète</w:t>
      </w:r>
      <w:r w:rsidRPr="00C06A12">
        <w:rPr>
          <w:lang w:val="fr-FR"/>
        </w:rPr>
        <w:t xml:space="preserve"> : chaque création, modification, activation ou désactivation de compte est historisée avec auteur et horodatage – élimine l’impossibilité de savoir qui avait accès à quoi en cas de litige.</w:t>
      </w:r>
    </w:p>
    <w:p w14:paraId="63924AF6"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Couverture</w:t>
      </w:r>
      <w:r w:rsidRPr="00C06A12">
        <w:rPr>
          <w:lang w:val="fr-FR"/>
        </w:rPr>
        <w:t xml:space="preserve"> : tous les collaborateurs ayant accès à G-Banque, gérés par l’administrateur système uniquement.</w:t>
      </w:r>
    </w:p>
    <w:p w14:paraId="7E52B91F" w14:textId="77777777" w:rsidR="001B4C95" w:rsidRPr="00C06A12" w:rsidRDefault="00000000">
      <w:pPr>
        <w:spacing w:after="200" w:line="288" w:lineRule="auto"/>
        <w:jc w:val="both"/>
      </w:pPr>
      <w:r w:rsidRPr="00C06A12">
        <w:t>Une fois les accès sécurisés et la structure organisationnelle de Staport pilotable depuis l’application, G-Banque peut s’appuyer sur cette base de confiance pour donner à l’équipe Finance une vue fiable et consolidée de l’ensemble des comptes bancaires de l’entreprise.</w:t>
      </w:r>
    </w:p>
    <w:p w14:paraId="4694E0D5" w14:textId="77777777" w:rsidR="001B4C95" w:rsidRPr="00C06A12" w:rsidRDefault="001B4C95">
      <w:pPr>
        <w:pageBreakBefore/>
      </w:pPr>
    </w:p>
    <w:p w14:paraId="58822DE9" w14:textId="77777777" w:rsidR="001B4C95" w:rsidRPr="00C06A12" w:rsidRDefault="00000000">
      <w:pPr>
        <w:pStyle w:val="Titre1"/>
        <w:pBdr>
          <w:bottom w:val="single" w:sz="8" w:space="8" w:color="B08D57"/>
        </w:pBdr>
        <w:spacing w:after="240"/>
        <w:rPr>
          <w:lang w:val="fr-FR"/>
        </w:rPr>
      </w:pPr>
      <w:bookmarkStart w:id="3" w:name="chap4"/>
      <w:r w:rsidRPr="00C06A12">
        <w:rPr>
          <w:lang w:val="fr-FR"/>
        </w:rPr>
        <w:t>Chapitre 4 – Comptes bancaires</w:t>
      </w:r>
      <w:bookmarkEnd w:id="3"/>
    </w:p>
    <w:p w14:paraId="15281804" w14:textId="77777777" w:rsidR="001B4C95" w:rsidRPr="00C06A12" w:rsidRDefault="00000000">
      <w:pPr>
        <w:pStyle w:val="Titre2"/>
        <w:spacing w:before="280" w:after="140"/>
        <w:rPr>
          <w:lang w:val="fr-FR"/>
        </w:rPr>
      </w:pPr>
      <w:r w:rsidRPr="00C06A12">
        <w:rPr>
          <w:lang w:val="fr-FR"/>
        </w:rPr>
        <w:t>Ce que ce module résout</w:t>
      </w:r>
    </w:p>
    <w:p w14:paraId="3E2E1929" w14:textId="77777777" w:rsidR="001B4C95" w:rsidRPr="00C06A12" w:rsidRDefault="00000000">
      <w:pPr>
        <w:spacing w:after="200" w:line="288" w:lineRule="auto"/>
        <w:jc w:val="both"/>
      </w:pPr>
      <w:r w:rsidRPr="00C06A12">
        <w:t>G-Banque centralise l’ensemble des comptes bancaires de Staport en un seul endroit et offre à l’équipe Finance une vue consolidée et en temps réel de leur situation, sans avoir à consulter chaque banque séparément.</w:t>
      </w:r>
    </w:p>
    <w:p w14:paraId="09880D38" w14:textId="77777777" w:rsidR="001B4C95" w:rsidRPr="00C06A12" w:rsidRDefault="00000000">
      <w:pPr>
        <w:pStyle w:val="Titre2"/>
        <w:spacing w:before="280" w:after="140"/>
        <w:rPr>
          <w:lang w:val="fr-FR"/>
        </w:rPr>
      </w:pPr>
      <w:r w:rsidRPr="00C06A12">
        <w:rPr>
          <w:lang w:val="fr-FR"/>
        </w:rPr>
        <w:t>Ce que le système apporte</w:t>
      </w:r>
    </w:p>
    <w:p w14:paraId="436FD038" w14:textId="22B65AD8" w:rsidR="001B4C95" w:rsidRPr="00C06A12" w:rsidRDefault="00000000">
      <w:pPr>
        <w:pStyle w:val="Paragraphedeliste"/>
        <w:numPr>
          <w:ilvl w:val="0"/>
          <w:numId w:val="2"/>
        </w:numPr>
        <w:spacing w:after="120" w:line="276" w:lineRule="auto"/>
        <w:jc w:val="both"/>
        <w:rPr>
          <w:lang w:val="fr-FR"/>
        </w:rPr>
      </w:pPr>
      <w:r w:rsidRPr="00C06A12">
        <w:rPr>
          <w:b/>
          <w:bCs/>
          <w:lang w:val="fr-FR"/>
        </w:rPr>
        <w:t>Vue consolidée instantanée</w:t>
      </w:r>
      <w:r w:rsidRPr="00C06A12">
        <w:rPr>
          <w:lang w:val="fr-FR"/>
        </w:rPr>
        <w:t xml:space="preserve"> : le tableau de bord Finance affiche en un seul écran la situation de tous les comptes bancaires actifs (solde </w:t>
      </w:r>
      <w:r w:rsidR="004346C7" w:rsidRPr="00C06A12">
        <w:rPr>
          <w:lang w:val="fr-FR"/>
        </w:rPr>
        <w:t>actuel,</w:t>
      </w:r>
      <w:r w:rsidRPr="00C06A12">
        <w:rPr>
          <w:lang w:val="fr-FR"/>
        </w:rPr>
        <w:t xml:space="preserve"> plafond de facilité de caisse utilisé, effets et virements échus à venir).</w:t>
      </w:r>
    </w:p>
    <w:p w14:paraId="3393DAFF" w14:textId="0F18EAA3" w:rsidR="001B4C95" w:rsidRPr="00C06A12" w:rsidRDefault="00000000">
      <w:pPr>
        <w:pStyle w:val="Paragraphedeliste"/>
        <w:numPr>
          <w:ilvl w:val="0"/>
          <w:numId w:val="2"/>
        </w:numPr>
        <w:spacing w:after="120" w:line="276" w:lineRule="auto"/>
        <w:jc w:val="both"/>
        <w:rPr>
          <w:lang w:val="fr-FR"/>
        </w:rPr>
      </w:pPr>
      <w:r w:rsidRPr="00C06A12">
        <w:rPr>
          <w:b/>
          <w:bCs/>
          <w:lang w:val="fr-FR"/>
        </w:rPr>
        <w:t xml:space="preserve">Synchronisation </w:t>
      </w:r>
      <w:r w:rsidR="004346C7" w:rsidRPr="00C06A12">
        <w:rPr>
          <w:b/>
          <w:bCs/>
          <w:lang w:val="fr-FR"/>
        </w:rPr>
        <w:t>Fun Paiement</w:t>
      </w:r>
      <w:r w:rsidRPr="00C06A12">
        <w:rPr>
          <w:b/>
          <w:bCs/>
          <w:lang w:val="fr-FR"/>
        </w:rPr>
        <w:t xml:space="preserve"> en un clic</w:t>
      </w:r>
      <w:r w:rsidRPr="00C06A12">
        <w:rPr>
          <w:lang w:val="fr-FR"/>
        </w:rPr>
        <w:t xml:space="preserve"> : la récupération des données depuis le système de paiement externe se déclenche depuis le tableau de bord, sans intervention technique – élimine la double saisie entre les deux systèmes.</w:t>
      </w:r>
    </w:p>
    <w:p w14:paraId="4A453CA2"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Récapitulatif PDF</w:t>
      </w:r>
      <w:r w:rsidRPr="00C06A12">
        <w:rPr>
          <w:lang w:val="fr-FR"/>
        </w:rPr>
        <w:t xml:space="preserve"> : téléchargeable à tout moment, global (toutes banques) ou par banque, sans préparation manuelle.</w:t>
      </w:r>
    </w:p>
    <w:p w14:paraId="5D33DE14"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Traçabilité et garde-fous</w:t>
      </w:r>
      <w:r w:rsidRPr="00C06A12">
        <w:rPr>
          <w:lang w:val="fr-FR"/>
        </w:rPr>
        <w:t xml:space="preserve"> : toute création ou modification de compte est auditée (auteur, horodatage) ; la suppression d’un compte est bloquée tant que son solde n’est pas nul ou que des transactions restent en attente – élimine la suppression accidentelle d’un compte encore actif.</w:t>
      </w:r>
    </w:p>
    <w:p w14:paraId="29DB8D31"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Module central</w:t>
      </w:r>
      <w:r w:rsidRPr="00C06A12">
        <w:rPr>
          <w:lang w:val="fr-FR"/>
        </w:rPr>
        <w:t xml:space="preserve"> : tous les autres modules se réfèrent aux comptes définis ici, garantissant une seule source de vérité pour l’état réel des comptes en cours de journée.</w:t>
      </w:r>
    </w:p>
    <w:p w14:paraId="66C4682A" w14:textId="77777777" w:rsidR="001B4C95" w:rsidRPr="00C06A12" w:rsidRDefault="00000000">
      <w:pPr>
        <w:pStyle w:val="Titre2"/>
        <w:spacing w:before="280" w:after="140"/>
        <w:rPr>
          <w:lang w:val="fr-FR"/>
        </w:rPr>
      </w:pPr>
      <w:r w:rsidRPr="00C06A12">
        <w:rPr>
          <w:lang w:val="fr-FR"/>
        </w:rPr>
        <w:t>Portefeuille bancaire actuel</w:t>
      </w:r>
    </w:p>
    <w:p w14:paraId="17DD0B85" w14:textId="77777777" w:rsidR="001B4C95" w:rsidRPr="00C06A12" w:rsidRDefault="00000000">
      <w:pPr>
        <w:spacing w:after="200" w:line="288" w:lineRule="auto"/>
        <w:jc w:val="both"/>
      </w:pPr>
      <w:r w:rsidRPr="00C06A12">
        <w:t xml:space="preserve">G-Banque centralise aujourd’hui </w:t>
      </w:r>
      <w:r w:rsidRPr="00C06A12">
        <w:rPr>
          <w:b/>
          <w:bCs/>
        </w:rPr>
        <w:t>7 comptes bancaires actifs</w:t>
      </w:r>
      <w:r w:rsidRPr="00C06A12">
        <w:t>, répartis sur 7 établissements différents, chacun rattaché à une agence identifiée et suivi en temps réel.</w:t>
      </w:r>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008"/>
        <w:gridCol w:w="3009"/>
        <w:gridCol w:w="3009"/>
      </w:tblGrid>
      <w:tr w:rsidR="001B4C95" w:rsidRPr="00C06A12" w14:paraId="09CC7F13" w14:textId="77777777">
        <w:tblPrEx>
          <w:tblCellMar>
            <w:top w:w="0" w:type="dxa"/>
            <w:bottom w:w="0" w:type="dxa"/>
          </w:tblCellMar>
        </w:tblPrEx>
        <w:trPr>
          <w:tblHeader/>
        </w:trPr>
        <w:tc>
          <w:tcPr>
            <w:tcW w:w="3008" w:type="dxa"/>
            <w:shd w:val="clear" w:color="auto" w:fill="1F3864"/>
            <w:tcMar>
              <w:top w:w="100" w:type="dxa"/>
              <w:left w:w="120" w:type="dxa"/>
              <w:bottom w:w="100" w:type="dxa"/>
              <w:right w:w="120" w:type="dxa"/>
            </w:tcMar>
            <w:vAlign w:val="center"/>
          </w:tcPr>
          <w:p w14:paraId="160FB540" w14:textId="77777777" w:rsidR="001B4C95" w:rsidRPr="00C06A12" w:rsidRDefault="00000000">
            <w:r w:rsidRPr="00C06A12">
              <w:rPr>
                <w:b/>
                <w:bCs/>
                <w:color w:val="FFFFFF"/>
                <w:sz w:val="20"/>
                <w:szCs w:val="20"/>
              </w:rPr>
              <w:t>Banque</w:t>
            </w:r>
          </w:p>
        </w:tc>
        <w:tc>
          <w:tcPr>
            <w:tcW w:w="3008" w:type="dxa"/>
            <w:shd w:val="clear" w:color="auto" w:fill="1F3864"/>
            <w:tcMar>
              <w:top w:w="100" w:type="dxa"/>
              <w:left w:w="120" w:type="dxa"/>
              <w:bottom w:w="100" w:type="dxa"/>
              <w:right w:w="120" w:type="dxa"/>
            </w:tcMar>
            <w:vAlign w:val="center"/>
          </w:tcPr>
          <w:p w14:paraId="73A91A1C" w14:textId="77777777" w:rsidR="001B4C95" w:rsidRPr="00C06A12" w:rsidRDefault="00000000">
            <w:r w:rsidRPr="00C06A12">
              <w:rPr>
                <w:b/>
                <w:bCs/>
                <w:color w:val="FFFFFF"/>
                <w:sz w:val="20"/>
                <w:szCs w:val="20"/>
              </w:rPr>
              <w:t>Agence</w:t>
            </w:r>
          </w:p>
        </w:tc>
        <w:tc>
          <w:tcPr>
            <w:tcW w:w="3008" w:type="dxa"/>
            <w:shd w:val="clear" w:color="auto" w:fill="1F3864"/>
            <w:tcMar>
              <w:top w:w="100" w:type="dxa"/>
              <w:left w:w="120" w:type="dxa"/>
              <w:bottom w:w="100" w:type="dxa"/>
              <w:right w:w="120" w:type="dxa"/>
            </w:tcMar>
            <w:vAlign w:val="center"/>
          </w:tcPr>
          <w:p w14:paraId="395B976A" w14:textId="77777777" w:rsidR="001B4C95" w:rsidRPr="00C06A12" w:rsidRDefault="00000000">
            <w:r w:rsidRPr="00C06A12">
              <w:rPr>
                <w:b/>
                <w:bCs/>
                <w:color w:val="FFFFFF"/>
                <w:sz w:val="20"/>
                <w:szCs w:val="20"/>
              </w:rPr>
              <w:t>Devise</w:t>
            </w:r>
          </w:p>
        </w:tc>
      </w:tr>
      <w:tr w:rsidR="001B4C95" w:rsidRPr="00C06A12" w14:paraId="7D5019CD" w14:textId="77777777">
        <w:tblPrEx>
          <w:tblCellMar>
            <w:top w:w="0" w:type="dxa"/>
            <w:bottom w:w="0" w:type="dxa"/>
          </w:tblCellMar>
        </w:tblPrEx>
        <w:tc>
          <w:tcPr>
            <w:tcW w:w="3008" w:type="dxa"/>
            <w:tcMar>
              <w:top w:w="100" w:type="dxa"/>
              <w:left w:w="120" w:type="dxa"/>
              <w:bottom w:w="100" w:type="dxa"/>
              <w:right w:w="120" w:type="dxa"/>
            </w:tcMar>
            <w:vAlign w:val="center"/>
          </w:tcPr>
          <w:p w14:paraId="0533ACE9" w14:textId="77777777" w:rsidR="001B4C95" w:rsidRPr="00C06A12" w:rsidRDefault="00000000">
            <w:r w:rsidRPr="00C06A12">
              <w:rPr>
                <w:color w:val="262626"/>
                <w:sz w:val="20"/>
                <w:szCs w:val="20"/>
              </w:rPr>
              <w:t>AWB</w:t>
            </w:r>
          </w:p>
        </w:tc>
        <w:tc>
          <w:tcPr>
            <w:tcW w:w="3008" w:type="dxa"/>
            <w:tcMar>
              <w:top w:w="100" w:type="dxa"/>
              <w:left w:w="120" w:type="dxa"/>
              <w:bottom w:w="100" w:type="dxa"/>
              <w:right w:w="120" w:type="dxa"/>
            </w:tcMar>
            <w:vAlign w:val="center"/>
          </w:tcPr>
          <w:p w14:paraId="2A7D122E" w14:textId="77777777" w:rsidR="001B4C95" w:rsidRPr="00C06A12" w:rsidRDefault="00000000">
            <w:r w:rsidRPr="00C06A12">
              <w:rPr>
                <w:color w:val="262626"/>
                <w:sz w:val="20"/>
                <w:szCs w:val="20"/>
              </w:rPr>
              <w:t xml:space="preserve">Agence </w:t>
            </w:r>
            <w:proofErr w:type="spellStart"/>
            <w:r w:rsidRPr="00C06A12">
              <w:rPr>
                <w:color w:val="262626"/>
                <w:sz w:val="20"/>
                <w:szCs w:val="20"/>
              </w:rPr>
              <w:t>Guéliz</w:t>
            </w:r>
            <w:proofErr w:type="spellEnd"/>
          </w:p>
        </w:tc>
        <w:tc>
          <w:tcPr>
            <w:tcW w:w="3008" w:type="dxa"/>
            <w:tcMar>
              <w:top w:w="100" w:type="dxa"/>
              <w:left w:w="120" w:type="dxa"/>
              <w:bottom w:w="100" w:type="dxa"/>
              <w:right w:w="120" w:type="dxa"/>
            </w:tcMar>
            <w:vAlign w:val="center"/>
          </w:tcPr>
          <w:p w14:paraId="1B2F36A5" w14:textId="77777777" w:rsidR="001B4C95" w:rsidRPr="00C06A12" w:rsidRDefault="00000000">
            <w:r w:rsidRPr="00C06A12">
              <w:rPr>
                <w:color w:val="262626"/>
                <w:sz w:val="20"/>
                <w:szCs w:val="20"/>
              </w:rPr>
              <w:t>MAD</w:t>
            </w:r>
          </w:p>
        </w:tc>
      </w:tr>
      <w:tr w:rsidR="001B4C95" w:rsidRPr="00C06A12" w14:paraId="235408AF" w14:textId="77777777">
        <w:tblPrEx>
          <w:tblCellMar>
            <w:top w:w="0" w:type="dxa"/>
            <w:bottom w:w="0" w:type="dxa"/>
          </w:tblCellMar>
        </w:tblPrEx>
        <w:tc>
          <w:tcPr>
            <w:tcW w:w="3008" w:type="dxa"/>
            <w:tcMar>
              <w:top w:w="100" w:type="dxa"/>
              <w:left w:w="120" w:type="dxa"/>
              <w:bottom w:w="100" w:type="dxa"/>
              <w:right w:w="120" w:type="dxa"/>
            </w:tcMar>
            <w:vAlign w:val="center"/>
          </w:tcPr>
          <w:p w14:paraId="04FAC0B7" w14:textId="77777777" w:rsidR="001B4C95" w:rsidRPr="00C06A12" w:rsidRDefault="00000000">
            <w:r w:rsidRPr="00C06A12">
              <w:rPr>
                <w:color w:val="262626"/>
                <w:sz w:val="20"/>
                <w:szCs w:val="20"/>
              </w:rPr>
              <w:t>BMCE</w:t>
            </w:r>
          </w:p>
        </w:tc>
        <w:tc>
          <w:tcPr>
            <w:tcW w:w="3008" w:type="dxa"/>
            <w:tcMar>
              <w:top w:w="100" w:type="dxa"/>
              <w:left w:w="120" w:type="dxa"/>
              <w:bottom w:w="100" w:type="dxa"/>
              <w:right w:w="120" w:type="dxa"/>
            </w:tcMar>
            <w:vAlign w:val="center"/>
          </w:tcPr>
          <w:p w14:paraId="22BFEE0B" w14:textId="77777777" w:rsidR="001B4C95" w:rsidRPr="00C06A12" w:rsidRDefault="00000000">
            <w:r w:rsidRPr="00C06A12">
              <w:rPr>
                <w:color w:val="262626"/>
                <w:sz w:val="20"/>
                <w:szCs w:val="20"/>
              </w:rPr>
              <w:t>Agence Liberté</w:t>
            </w:r>
          </w:p>
        </w:tc>
        <w:tc>
          <w:tcPr>
            <w:tcW w:w="3008" w:type="dxa"/>
            <w:tcMar>
              <w:top w:w="100" w:type="dxa"/>
              <w:left w:w="120" w:type="dxa"/>
              <w:bottom w:w="100" w:type="dxa"/>
              <w:right w:w="120" w:type="dxa"/>
            </w:tcMar>
            <w:vAlign w:val="center"/>
          </w:tcPr>
          <w:p w14:paraId="381BF35D" w14:textId="77777777" w:rsidR="001B4C95" w:rsidRPr="00C06A12" w:rsidRDefault="00000000">
            <w:r w:rsidRPr="00C06A12">
              <w:rPr>
                <w:color w:val="262626"/>
                <w:sz w:val="20"/>
                <w:szCs w:val="20"/>
              </w:rPr>
              <w:t>MAD</w:t>
            </w:r>
          </w:p>
        </w:tc>
      </w:tr>
      <w:tr w:rsidR="001B4C95" w:rsidRPr="00C06A12" w14:paraId="700D1435" w14:textId="77777777">
        <w:tblPrEx>
          <w:tblCellMar>
            <w:top w:w="0" w:type="dxa"/>
            <w:bottom w:w="0" w:type="dxa"/>
          </w:tblCellMar>
        </w:tblPrEx>
        <w:tc>
          <w:tcPr>
            <w:tcW w:w="3008" w:type="dxa"/>
            <w:tcMar>
              <w:top w:w="100" w:type="dxa"/>
              <w:left w:w="120" w:type="dxa"/>
              <w:bottom w:w="100" w:type="dxa"/>
              <w:right w:w="120" w:type="dxa"/>
            </w:tcMar>
            <w:vAlign w:val="center"/>
          </w:tcPr>
          <w:p w14:paraId="69DDE981" w14:textId="77777777" w:rsidR="001B4C95" w:rsidRPr="00C06A12" w:rsidRDefault="00000000">
            <w:r w:rsidRPr="00C06A12">
              <w:rPr>
                <w:color w:val="262626"/>
                <w:sz w:val="20"/>
                <w:szCs w:val="20"/>
              </w:rPr>
              <w:t>BMCI</w:t>
            </w:r>
          </w:p>
        </w:tc>
        <w:tc>
          <w:tcPr>
            <w:tcW w:w="3008" w:type="dxa"/>
            <w:tcMar>
              <w:top w:w="100" w:type="dxa"/>
              <w:left w:w="120" w:type="dxa"/>
              <w:bottom w:w="100" w:type="dxa"/>
              <w:right w:w="120" w:type="dxa"/>
            </w:tcMar>
            <w:vAlign w:val="center"/>
          </w:tcPr>
          <w:p w14:paraId="0153E218" w14:textId="77777777" w:rsidR="001B4C95" w:rsidRPr="00C06A12" w:rsidRDefault="00000000">
            <w:r w:rsidRPr="00C06A12">
              <w:rPr>
                <w:color w:val="262626"/>
                <w:sz w:val="20"/>
                <w:szCs w:val="20"/>
              </w:rPr>
              <w:t>Agence Majorelle</w:t>
            </w:r>
          </w:p>
        </w:tc>
        <w:tc>
          <w:tcPr>
            <w:tcW w:w="3008" w:type="dxa"/>
            <w:tcMar>
              <w:top w:w="100" w:type="dxa"/>
              <w:left w:w="120" w:type="dxa"/>
              <w:bottom w:w="100" w:type="dxa"/>
              <w:right w:w="120" w:type="dxa"/>
            </w:tcMar>
            <w:vAlign w:val="center"/>
          </w:tcPr>
          <w:p w14:paraId="0A15593C" w14:textId="77777777" w:rsidR="001B4C95" w:rsidRPr="00C06A12" w:rsidRDefault="00000000">
            <w:r w:rsidRPr="00C06A12">
              <w:rPr>
                <w:color w:val="262626"/>
                <w:sz w:val="20"/>
                <w:szCs w:val="20"/>
              </w:rPr>
              <w:t>MAD</w:t>
            </w:r>
          </w:p>
        </w:tc>
      </w:tr>
      <w:tr w:rsidR="001B4C95" w:rsidRPr="00C06A12" w14:paraId="167E5E8D" w14:textId="77777777">
        <w:tblPrEx>
          <w:tblCellMar>
            <w:top w:w="0" w:type="dxa"/>
            <w:bottom w:w="0" w:type="dxa"/>
          </w:tblCellMar>
        </w:tblPrEx>
        <w:tc>
          <w:tcPr>
            <w:tcW w:w="3008" w:type="dxa"/>
            <w:tcMar>
              <w:top w:w="100" w:type="dxa"/>
              <w:left w:w="120" w:type="dxa"/>
              <w:bottom w:w="100" w:type="dxa"/>
              <w:right w:w="120" w:type="dxa"/>
            </w:tcMar>
            <w:vAlign w:val="center"/>
          </w:tcPr>
          <w:p w14:paraId="40CD308C" w14:textId="77777777" w:rsidR="001B4C95" w:rsidRPr="00C06A12" w:rsidRDefault="00000000">
            <w:r w:rsidRPr="00C06A12">
              <w:rPr>
                <w:color w:val="262626"/>
                <w:sz w:val="20"/>
                <w:szCs w:val="20"/>
              </w:rPr>
              <w:t>CDM</w:t>
            </w:r>
          </w:p>
        </w:tc>
        <w:tc>
          <w:tcPr>
            <w:tcW w:w="3008" w:type="dxa"/>
            <w:tcMar>
              <w:top w:w="100" w:type="dxa"/>
              <w:left w:w="120" w:type="dxa"/>
              <w:bottom w:w="100" w:type="dxa"/>
              <w:right w:w="120" w:type="dxa"/>
            </w:tcMar>
            <w:vAlign w:val="center"/>
          </w:tcPr>
          <w:p w14:paraId="1ACC53B0" w14:textId="77777777" w:rsidR="001B4C95" w:rsidRPr="00C06A12" w:rsidRDefault="00000000">
            <w:r w:rsidRPr="00C06A12">
              <w:rPr>
                <w:color w:val="262626"/>
                <w:sz w:val="20"/>
                <w:szCs w:val="20"/>
              </w:rPr>
              <w:t>Agence Yacoub El Mansour</w:t>
            </w:r>
          </w:p>
        </w:tc>
        <w:tc>
          <w:tcPr>
            <w:tcW w:w="3008" w:type="dxa"/>
            <w:tcMar>
              <w:top w:w="100" w:type="dxa"/>
              <w:left w:w="120" w:type="dxa"/>
              <w:bottom w:w="100" w:type="dxa"/>
              <w:right w:w="120" w:type="dxa"/>
            </w:tcMar>
            <w:vAlign w:val="center"/>
          </w:tcPr>
          <w:p w14:paraId="2BB33ED6" w14:textId="77777777" w:rsidR="001B4C95" w:rsidRPr="00C06A12" w:rsidRDefault="00000000">
            <w:r w:rsidRPr="00C06A12">
              <w:rPr>
                <w:color w:val="262626"/>
                <w:sz w:val="20"/>
                <w:szCs w:val="20"/>
              </w:rPr>
              <w:t>MAD</w:t>
            </w:r>
          </w:p>
        </w:tc>
      </w:tr>
      <w:tr w:rsidR="001B4C95" w:rsidRPr="00C06A12" w14:paraId="3ECC4C9E" w14:textId="77777777">
        <w:tblPrEx>
          <w:tblCellMar>
            <w:top w:w="0" w:type="dxa"/>
            <w:bottom w:w="0" w:type="dxa"/>
          </w:tblCellMar>
        </w:tblPrEx>
        <w:tc>
          <w:tcPr>
            <w:tcW w:w="3008" w:type="dxa"/>
            <w:tcMar>
              <w:top w:w="100" w:type="dxa"/>
              <w:left w:w="120" w:type="dxa"/>
              <w:bottom w:w="100" w:type="dxa"/>
              <w:right w:w="120" w:type="dxa"/>
            </w:tcMar>
            <w:vAlign w:val="center"/>
          </w:tcPr>
          <w:p w14:paraId="08FE13A7" w14:textId="77777777" w:rsidR="001B4C95" w:rsidRPr="00C06A12" w:rsidRDefault="00000000">
            <w:r w:rsidRPr="00C06A12">
              <w:rPr>
                <w:color w:val="262626"/>
                <w:sz w:val="20"/>
                <w:szCs w:val="20"/>
              </w:rPr>
              <w:t>SAHAM BANK</w:t>
            </w:r>
          </w:p>
        </w:tc>
        <w:tc>
          <w:tcPr>
            <w:tcW w:w="3008" w:type="dxa"/>
            <w:tcMar>
              <w:top w:w="100" w:type="dxa"/>
              <w:left w:w="120" w:type="dxa"/>
              <w:bottom w:w="100" w:type="dxa"/>
              <w:right w:w="120" w:type="dxa"/>
            </w:tcMar>
            <w:vAlign w:val="center"/>
          </w:tcPr>
          <w:p w14:paraId="1644ABA3" w14:textId="77777777" w:rsidR="001B4C95" w:rsidRPr="00C06A12" w:rsidRDefault="00000000">
            <w:r w:rsidRPr="00C06A12">
              <w:rPr>
                <w:color w:val="262626"/>
                <w:sz w:val="20"/>
                <w:szCs w:val="20"/>
              </w:rPr>
              <w:t xml:space="preserve">Agence </w:t>
            </w:r>
            <w:proofErr w:type="spellStart"/>
            <w:r w:rsidRPr="00C06A12">
              <w:rPr>
                <w:color w:val="262626"/>
                <w:sz w:val="20"/>
                <w:szCs w:val="20"/>
              </w:rPr>
              <w:t>Semlalia</w:t>
            </w:r>
            <w:proofErr w:type="spellEnd"/>
          </w:p>
        </w:tc>
        <w:tc>
          <w:tcPr>
            <w:tcW w:w="3008" w:type="dxa"/>
            <w:tcMar>
              <w:top w:w="100" w:type="dxa"/>
              <w:left w:w="120" w:type="dxa"/>
              <w:bottom w:w="100" w:type="dxa"/>
              <w:right w:w="120" w:type="dxa"/>
            </w:tcMar>
            <w:vAlign w:val="center"/>
          </w:tcPr>
          <w:p w14:paraId="63794801" w14:textId="77777777" w:rsidR="001B4C95" w:rsidRPr="00C06A12" w:rsidRDefault="00000000">
            <w:r w:rsidRPr="00C06A12">
              <w:rPr>
                <w:color w:val="262626"/>
                <w:sz w:val="20"/>
                <w:szCs w:val="20"/>
              </w:rPr>
              <w:t>MAD</w:t>
            </w:r>
          </w:p>
        </w:tc>
      </w:tr>
      <w:tr w:rsidR="001B4C95" w:rsidRPr="00C06A12" w14:paraId="1F06EA7C" w14:textId="77777777">
        <w:tblPrEx>
          <w:tblCellMar>
            <w:top w:w="0" w:type="dxa"/>
            <w:bottom w:w="0" w:type="dxa"/>
          </w:tblCellMar>
        </w:tblPrEx>
        <w:tc>
          <w:tcPr>
            <w:tcW w:w="3008" w:type="dxa"/>
            <w:tcMar>
              <w:top w:w="100" w:type="dxa"/>
              <w:left w:w="120" w:type="dxa"/>
              <w:bottom w:w="100" w:type="dxa"/>
              <w:right w:w="120" w:type="dxa"/>
            </w:tcMar>
            <w:vAlign w:val="center"/>
          </w:tcPr>
          <w:p w14:paraId="3EA425B6" w14:textId="77777777" w:rsidR="001B4C95" w:rsidRPr="00C06A12" w:rsidRDefault="00000000">
            <w:r w:rsidRPr="00C06A12">
              <w:rPr>
                <w:color w:val="262626"/>
                <w:sz w:val="20"/>
                <w:szCs w:val="20"/>
              </w:rPr>
              <w:t>BP</w:t>
            </w:r>
          </w:p>
        </w:tc>
        <w:tc>
          <w:tcPr>
            <w:tcW w:w="3008" w:type="dxa"/>
            <w:tcMar>
              <w:top w:w="100" w:type="dxa"/>
              <w:left w:w="120" w:type="dxa"/>
              <w:bottom w:w="100" w:type="dxa"/>
              <w:right w:w="120" w:type="dxa"/>
            </w:tcMar>
            <w:vAlign w:val="center"/>
          </w:tcPr>
          <w:p w14:paraId="3A478891" w14:textId="77777777" w:rsidR="001B4C95" w:rsidRPr="00C06A12" w:rsidRDefault="00000000">
            <w:r w:rsidRPr="00C06A12">
              <w:rPr>
                <w:color w:val="262626"/>
                <w:sz w:val="20"/>
                <w:szCs w:val="20"/>
              </w:rPr>
              <w:t>Agence Princesse</w:t>
            </w:r>
          </w:p>
        </w:tc>
        <w:tc>
          <w:tcPr>
            <w:tcW w:w="3008" w:type="dxa"/>
            <w:tcMar>
              <w:top w:w="100" w:type="dxa"/>
              <w:left w:w="120" w:type="dxa"/>
              <w:bottom w:w="100" w:type="dxa"/>
              <w:right w:w="120" w:type="dxa"/>
            </w:tcMar>
            <w:vAlign w:val="center"/>
          </w:tcPr>
          <w:p w14:paraId="654EE729" w14:textId="77777777" w:rsidR="001B4C95" w:rsidRPr="00C06A12" w:rsidRDefault="00000000">
            <w:r w:rsidRPr="00C06A12">
              <w:rPr>
                <w:color w:val="262626"/>
                <w:sz w:val="20"/>
                <w:szCs w:val="20"/>
              </w:rPr>
              <w:t>MAD</w:t>
            </w:r>
          </w:p>
        </w:tc>
      </w:tr>
      <w:tr w:rsidR="001B4C95" w:rsidRPr="00C06A12" w14:paraId="34CC2EE0" w14:textId="77777777">
        <w:tblPrEx>
          <w:tblCellMar>
            <w:top w:w="0" w:type="dxa"/>
            <w:bottom w:w="0" w:type="dxa"/>
          </w:tblCellMar>
        </w:tblPrEx>
        <w:tc>
          <w:tcPr>
            <w:tcW w:w="3008" w:type="dxa"/>
            <w:tcMar>
              <w:top w:w="100" w:type="dxa"/>
              <w:left w:w="120" w:type="dxa"/>
              <w:bottom w:w="100" w:type="dxa"/>
              <w:right w:w="120" w:type="dxa"/>
            </w:tcMar>
            <w:vAlign w:val="center"/>
          </w:tcPr>
          <w:p w14:paraId="675E61AC" w14:textId="77777777" w:rsidR="001B4C95" w:rsidRPr="00C06A12" w:rsidRDefault="00000000">
            <w:r w:rsidRPr="00C06A12">
              <w:rPr>
                <w:color w:val="262626"/>
                <w:sz w:val="20"/>
                <w:szCs w:val="20"/>
              </w:rPr>
              <w:t>CIH</w:t>
            </w:r>
          </w:p>
        </w:tc>
        <w:tc>
          <w:tcPr>
            <w:tcW w:w="3008" w:type="dxa"/>
            <w:tcMar>
              <w:top w:w="100" w:type="dxa"/>
              <w:left w:w="120" w:type="dxa"/>
              <w:bottom w:w="100" w:type="dxa"/>
              <w:right w:w="120" w:type="dxa"/>
            </w:tcMar>
            <w:vAlign w:val="center"/>
          </w:tcPr>
          <w:p w14:paraId="2AD60064" w14:textId="77777777" w:rsidR="001B4C95" w:rsidRPr="00C06A12" w:rsidRDefault="00000000">
            <w:r w:rsidRPr="00C06A12">
              <w:rPr>
                <w:color w:val="262626"/>
                <w:sz w:val="20"/>
                <w:szCs w:val="20"/>
              </w:rPr>
              <w:t>Agence Massira</w:t>
            </w:r>
          </w:p>
        </w:tc>
        <w:tc>
          <w:tcPr>
            <w:tcW w:w="3008" w:type="dxa"/>
            <w:tcMar>
              <w:top w:w="100" w:type="dxa"/>
              <w:left w:w="120" w:type="dxa"/>
              <w:bottom w:w="100" w:type="dxa"/>
              <w:right w:w="120" w:type="dxa"/>
            </w:tcMar>
            <w:vAlign w:val="center"/>
          </w:tcPr>
          <w:p w14:paraId="6ED9CE4C" w14:textId="77777777" w:rsidR="001B4C95" w:rsidRPr="00C06A12" w:rsidRDefault="00000000">
            <w:r w:rsidRPr="00C06A12">
              <w:rPr>
                <w:color w:val="262626"/>
                <w:sz w:val="20"/>
                <w:szCs w:val="20"/>
              </w:rPr>
              <w:t>MAD</w:t>
            </w:r>
          </w:p>
        </w:tc>
      </w:tr>
    </w:tbl>
    <w:p w14:paraId="182F0532" w14:textId="77777777" w:rsidR="001B4C95" w:rsidRPr="00C06A12" w:rsidRDefault="001B4C95">
      <w:pPr>
        <w:spacing w:after="200"/>
      </w:pPr>
    </w:p>
    <w:p w14:paraId="5EE6FD05" w14:textId="77777777" w:rsidR="001B4C95" w:rsidRPr="00C06A12" w:rsidRDefault="00000000">
      <w:pPr>
        <w:spacing w:after="200" w:line="288" w:lineRule="auto"/>
        <w:jc w:val="both"/>
      </w:pPr>
      <w:r w:rsidRPr="00C06A12">
        <w:lastRenderedPageBreak/>
        <w:t>Les comptes bancaires étant centralisés, G-Banque peut ensuite suivre automatiquement les produits financiers qui leur sont rattachés – crédits, lignes fonctionnelles et contrats de leasing – avec le même niveau de fiabilité et de traçabilité.</w:t>
      </w:r>
    </w:p>
    <w:p w14:paraId="5E8588F3" w14:textId="77777777" w:rsidR="001B4C95" w:rsidRPr="00C06A12" w:rsidRDefault="001B4C95">
      <w:pPr>
        <w:pageBreakBefore/>
      </w:pPr>
    </w:p>
    <w:p w14:paraId="43E3ADD7" w14:textId="77777777" w:rsidR="001B4C95" w:rsidRPr="00C06A12" w:rsidRDefault="00000000">
      <w:pPr>
        <w:pStyle w:val="Titre1"/>
        <w:pBdr>
          <w:bottom w:val="single" w:sz="8" w:space="8" w:color="B08D57"/>
        </w:pBdr>
        <w:spacing w:after="240"/>
        <w:rPr>
          <w:lang w:val="fr-FR"/>
        </w:rPr>
      </w:pPr>
      <w:bookmarkStart w:id="4" w:name="chap5"/>
      <w:r w:rsidRPr="00C06A12">
        <w:rPr>
          <w:lang w:val="fr-FR"/>
        </w:rPr>
        <w:t>Chapitre 5 – Crédit Moyen Terme (CMT)</w:t>
      </w:r>
      <w:bookmarkEnd w:id="4"/>
    </w:p>
    <w:p w14:paraId="1090E999" w14:textId="77777777" w:rsidR="001B4C95" w:rsidRPr="00C06A12" w:rsidRDefault="00000000">
      <w:pPr>
        <w:pStyle w:val="Titre2"/>
        <w:spacing w:before="280" w:after="140"/>
        <w:rPr>
          <w:lang w:val="fr-FR"/>
        </w:rPr>
      </w:pPr>
      <w:r w:rsidRPr="00C06A12">
        <w:rPr>
          <w:lang w:val="fr-FR"/>
        </w:rPr>
        <w:t>Ce que ce module résout</w:t>
      </w:r>
    </w:p>
    <w:p w14:paraId="225E59EA" w14:textId="77777777" w:rsidR="001B4C95" w:rsidRPr="00C06A12" w:rsidRDefault="00000000">
      <w:pPr>
        <w:spacing w:after="200" w:line="288" w:lineRule="auto"/>
        <w:jc w:val="both"/>
      </w:pPr>
      <w:r w:rsidRPr="00C06A12">
        <w:t>G-Banque automatise l’intégralité du cycle de vie des crédits à moyen terme de Staport, de la souscription à la main levée : plan de remboursement, suivi des paiements et alertes d’échéance sont pris en charge automatiquement par le système.</w:t>
      </w:r>
    </w:p>
    <w:p w14:paraId="18AC3CDA" w14:textId="77777777" w:rsidR="001B4C95" w:rsidRPr="00C06A12" w:rsidRDefault="00000000">
      <w:pPr>
        <w:pStyle w:val="Titre2"/>
        <w:spacing w:before="280" w:after="140"/>
        <w:rPr>
          <w:lang w:val="fr-FR"/>
        </w:rPr>
      </w:pPr>
      <w:r w:rsidRPr="00C06A12">
        <w:rPr>
          <w:lang w:val="fr-FR"/>
        </w:rPr>
        <w:t>Ce que le système apporte</w:t>
      </w:r>
    </w:p>
    <w:p w14:paraId="22A73EAE"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Plan de remboursement automatique</w:t>
      </w:r>
      <w:r w:rsidRPr="00C06A12">
        <w:rPr>
          <w:lang w:val="fr-FR"/>
        </w:rPr>
        <w:t xml:space="preserve"> : dès la saisie d’un crédit (banque, nominal, taux, périodicité, durée, montant d’échéance), l’ensemble des échéances est généré automatiquement – aucun calcul manuel, aucune feuille Excel, aucun risque d’erreur de formule.</w:t>
      </w:r>
    </w:p>
    <w:p w14:paraId="051C57A1"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Suivi intégré au rapprochement</w:t>
      </w:r>
      <w:r w:rsidRPr="00C06A12">
        <w:rPr>
          <w:lang w:val="fr-FR"/>
        </w:rPr>
        <w:t xml:space="preserve"> : chaque échéance est validée directement dans le rapprochement bancaire mensuel, transaction créée automatiquement – aucune double saisie, aucun oubli d’échéance.</w:t>
      </w:r>
    </w:p>
    <w:p w14:paraId="2B5A7ABB" w14:textId="25DA9F8E" w:rsidR="001B4C95" w:rsidRPr="00C06A12" w:rsidRDefault="00000000">
      <w:pPr>
        <w:pStyle w:val="Paragraphedeliste"/>
        <w:numPr>
          <w:ilvl w:val="0"/>
          <w:numId w:val="2"/>
        </w:numPr>
        <w:spacing w:after="120" w:line="276" w:lineRule="auto"/>
        <w:jc w:val="both"/>
        <w:rPr>
          <w:lang w:val="fr-FR"/>
        </w:rPr>
      </w:pPr>
      <w:r w:rsidRPr="00C06A12">
        <w:rPr>
          <w:b/>
          <w:bCs/>
          <w:lang w:val="fr-FR"/>
        </w:rPr>
        <w:t>Alerte main levée automatique</w:t>
      </w:r>
      <w:r w:rsidRPr="00C06A12">
        <w:rPr>
          <w:lang w:val="fr-FR"/>
        </w:rPr>
        <w:t xml:space="preserve"> : chaque dimanche à 14h30, le système identifie les crédits entièrement soldés et notifie l’équipe – élimine le risque de crédit terminé non </w:t>
      </w:r>
      <w:r w:rsidR="004346C7" w:rsidRPr="00C06A12">
        <w:rPr>
          <w:lang w:val="fr-FR"/>
        </w:rPr>
        <w:t>clôturer</w:t>
      </w:r>
      <w:r w:rsidRPr="00C06A12">
        <w:rPr>
          <w:lang w:val="fr-FR"/>
        </w:rPr>
        <w:t>.</w:t>
      </w:r>
    </w:p>
    <w:p w14:paraId="49231719"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Vue encours par banque</w:t>
      </w:r>
      <w:r w:rsidRPr="00C06A12">
        <w:rPr>
          <w:lang w:val="fr-FR"/>
        </w:rPr>
        <w:t xml:space="preserve"> : l’encours total de CMT restant dû est consultable en temps réel, par banque.</w:t>
      </w:r>
    </w:p>
    <w:p w14:paraId="6239F8A4"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Garde-fous automatiques</w:t>
      </w:r>
      <w:r w:rsidRPr="00C06A12">
        <w:rPr>
          <w:lang w:val="fr-FR"/>
        </w:rPr>
        <w:t xml:space="preserve"> : modification ou suppression bloquée dès qu’une échéance est payée ; clôture bloquée tant qu’une échéance reste due – évite les erreurs de manipulation.</w:t>
      </w:r>
    </w:p>
    <w:p w14:paraId="65048E42"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Traçabilité complète</w:t>
      </w:r>
      <w:r w:rsidRPr="00C06A12">
        <w:rPr>
          <w:lang w:val="fr-FR"/>
        </w:rPr>
        <w:t xml:space="preserve"> : chaque modification de crédit (qui, quand, quoi) est historisée, consultable à tout moment en cas de litige.</w:t>
      </w:r>
    </w:p>
    <w:p w14:paraId="7AD25C47"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Export PDF à la demande</w:t>
      </w:r>
      <w:r w:rsidRPr="00C06A12">
        <w:rPr>
          <w:lang w:val="fr-FR"/>
        </w:rPr>
        <w:t xml:space="preserve"> : chaque liste de crédits et chaque tableau d’amortissement peut être exporté en PDF en un clic, prêt à être partagé ou archivé – plus besoin de ressaisir les données dans un autre outil pour produire un document présentable.</w:t>
      </w:r>
    </w:p>
    <w:p w14:paraId="732B1BFB" w14:textId="77777777" w:rsidR="001B4C95" w:rsidRPr="00C06A12" w:rsidRDefault="001B4C95">
      <w:pPr>
        <w:pageBreakBefore/>
      </w:pPr>
    </w:p>
    <w:p w14:paraId="57DD66B1" w14:textId="77777777" w:rsidR="001B4C95" w:rsidRPr="00C06A12" w:rsidRDefault="00000000">
      <w:pPr>
        <w:pStyle w:val="Titre1"/>
        <w:pBdr>
          <w:bottom w:val="single" w:sz="8" w:space="8" w:color="B08D57"/>
        </w:pBdr>
        <w:spacing w:after="240"/>
        <w:rPr>
          <w:lang w:val="fr-FR"/>
        </w:rPr>
      </w:pPr>
      <w:bookmarkStart w:id="5" w:name="chap6"/>
      <w:r w:rsidRPr="00C06A12">
        <w:rPr>
          <w:lang w:val="fr-FR"/>
        </w:rPr>
        <w:t>Chapitre 6 – Lignes Fonctionnelles</w:t>
      </w:r>
      <w:bookmarkEnd w:id="5"/>
    </w:p>
    <w:p w14:paraId="63B96D8A" w14:textId="77777777" w:rsidR="001B4C95" w:rsidRPr="00C06A12" w:rsidRDefault="00000000">
      <w:pPr>
        <w:pStyle w:val="Titre2"/>
        <w:spacing w:before="280" w:after="140"/>
        <w:rPr>
          <w:lang w:val="fr-FR"/>
        </w:rPr>
      </w:pPr>
      <w:r w:rsidRPr="00C06A12">
        <w:rPr>
          <w:lang w:val="fr-FR"/>
        </w:rPr>
        <w:t>Ce que ce module résout</w:t>
      </w:r>
    </w:p>
    <w:p w14:paraId="5BAC2DC9" w14:textId="45BB5A91" w:rsidR="001B4C95" w:rsidRPr="00C06A12" w:rsidRDefault="00000000">
      <w:pPr>
        <w:spacing w:after="200" w:line="288" w:lineRule="auto"/>
        <w:jc w:val="both"/>
      </w:pPr>
      <w:r w:rsidRPr="00C06A12">
        <w:t xml:space="preserve">Les lignes fonctionnelles matérialisent les autorisations de financement accordées à Staport par chaque </w:t>
      </w:r>
      <w:r w:rsidR="004346C7" w:rsidRPr="00C06A12">
        <w:t>banque.</w:t>
      </w:r>
      <w:r w:rsidRPr="00C06A12">
        <w:t xml:space="preserve"> G-Banque centralise ce référentiel et automatise les contrôles de cohérence.</w:t>
      </w:r>
    </w:p>
    <w:p w14:paraId="77654C03" w14:textId="77777777" w:rsidR="001B4C95" w:rsidRPr="00C06A12" w:rsidRDefault="00000000">
      <w:pPr>
        <w:pStyle w:val="Titre2"/>
        <w:spacing w:before="280" w:after="140"/>
        <w:rPr>
          <w:lang w:val="fr-FR"/>
        </w:rPr>
      </w:pPr>
      <w:r w:rsidRPr="00C06A12">
        <w:rPr>
          <w:lang w:val="fr-FR"/>
        </w:rPr>
        <w:t>Ce que le système apporte</w:t>
      </w:r>
    </w:p>
    <w:p w14:paraId="042200AF"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Référentiel unique des natures</w:t>
      </w:r>
      <w:r w:rsidRPr="00C06A12">
        <w:rPr>
          <w:lang w:val="fr-FR"/>
        </w:rPr>
        <w:t xml:space="preserve"> : G-Banque gère aujourd’hui </w:t>
      </w:r>
      <w:r w:rsidRPr="00C06A12">
        <w:rPr>
          <w:b/>
          <w:bCs/>
          <w:lang w:val="fr-FR"/>
        </w:rPr>
        <w:t>16 natures de lignes fonctionnelles</w:t>
      </w:r>
      <w:r w:rsidRPr="00C06A12">
        <w:rPr>
          <w:lang w:val="fr-FR"/>
        </w:rPr>
        <w:t xml:space="preserve"> (Facilité de Caisse, Escompte Commercial, Cautions, Avances sur marchés nantis, CREDOC, AVAL, Refinancement, Préfinancement, Droit constaté, Factoring, </w:t>
      </w:r>
      <w:proofErr w:type="spellStart"/>
      <w:r w:rsidRPr="00C06A12">
        <w:rPr>
          <w:lang w:val="fr-FR"/>
        </w:rPr>
        <w:t>Confirming</w:t>
      </w:r>
      <w:proofErr w:type="spellEnd"/>
      <w:r w:rsidRPr="00C06A12">
        <w:rPr>
          <w:lang w:val="fr-FR"/>
        </w:rPr>
        <w:t>, etc.), chacune définie une seule fois avec un code stable non modifiable – création et modification réservées à l’équipe Finance, suppression réservée à l’administrateur système et bloquée tant qu’une ligne existante l’utilise encore.</w:t>
      </w:r>
    </w:p>
    <w:p w14:paraId="2780FB23"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Ligne générale ou ligne spécifique, selon le besoin</w:t>
      </w:r>
      <w:r w:rsidRPr="00C06A12">
        <w:rPr>
          <w:lang w:val="fr-FR"/>
        </w:rPr>
        <w:t xml:space="preserve"> : une ligne générale couvre l’activité d’une banque dans son ensemble, ou un ensemble de marchés ciblés ; une ligne spécifique est dédiée à un seul marché. Un marché ne peut jamais avoir simultanément une ligne générale et une ligne spécifique actives pour la même nature – élimine les autorisations en double ou contradictoires.</w:t>
      </w:r>
    </w:p>
    <w:p w14:paraId="1A2F4515" w14:textId="04E20F65" w:rsidR="001B4C95" w:rsidRPr="00C06A12" w:rsidRDefault="00000000">
      <w:pPr>
        <w:pStyle w:val="Paragraphedeliste"/>
        <w:numPr>
          <w:ilvl w:val="0"/>
          <w:numId w:val="2"/>
        </w:numPr>
        <w:spacing w:after="120" w:line="276" w:lineRule="auto"/>
        <w:jc w:val="both"/>
        <w:rPr>
          <w:lang w:val="fr-FR"/>
        </w:rPr>
      </w:pPr>
      <w:r w:rsidRPr="00C06A12">
        <w:rPr>
          <w:b/>
          <w:bCs/>
          <w:lang w:val="fr-FR"/>
        </w:rPr>
        <w:t>Suivi de la consommation en temps réel</w:t>
      </w:r>
      <w:r w:rsidRPr="00C06A12">
        <w:rPr>
          <w:lang w:val="fr-FR"/>
        </w:rPr>
        <w:t xml:space="preserve"> : chaque ligne spécifique agrège automatiquement les opérations </w:t>
      </w:r>
      <w:r w:rsidR="004346C7" w:rsidRPr="00C06A12">
        <w:rPr>
          <w:lang w:val="fr-FR"/>
        </w:rPr>
        <w:t>imputées et</w:t>
      </w:r>
      <w:r w:rsidRPr="00C06A12">
        <w:rPr>
          <w:lang w:val="fr-FR"/>
        </w:rPr>
        <w:t xml:space="preserve"> affiche le débit cumulé, le crédit cumulé et le solde disponible – visibilité immédiate sur ce qui reste mobilisable, sans reconstitution manuelle.</w:t>
      </w:r>
    </w:p>
    <w:p w14:paraId="227A0887"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Cautions structurées en sous-lignes</w:t>
      </w:r>
      <w:r w:rsidRPr="00C06A12">
        <w:rPr>
          <w:lang w:val="fr-FR"/>
        </w:rPr>
        <w:t xml:space="preserve"> : une caution administrative peut être décomposée en sous-lignes qui héritent automatiquement des conditions de la ligne mère – pas de ressaisie, pas d’incohérence possible.</w:t>
      </w:r>
    </w:p>
    <w:p w14:paraId="3EA5EAF9"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Surveillance automatique des échéances</w:t>
      </w:r>
      <w:r w:rsidRPr="00C06A12">
        <w:rPr>
          <w:lang w:val="fr-FR"/>
        </w:rPr>
        <w:t xml:space="preserve"> : chaque semaine, les lignes (générales et spécifiques) approchant de leur fin ou déjà expirées déclenchent une alerte à l’équipe Finance, avec des seuils d’avertissement ajustables par un administrateur – plus besoin de suivi manuel dans un tableur.</w:t>
      </w:r>
    </w:p>
    <w:p w14:paraId="7E343AAE" w14:textId="5E621608" w:rsidR="001B4C95" w:rsidRPr="00C06A12" w:rsidRDefault="00000000">
      <w:pPr>
        <w:pStyle w:val="Paragraphedeliste"/>
        <w:numPr>
          <w:ilvl w:val="0"/>
          <w:numId w:val="2"/>
        </w:numPr>
        <w:spacing w:after="120" w:line="276" w:lineRule="auto"/>
        <w:jc w:val="both"/>
        <w:rPr>
          <w:lang w:val="fr-FR"/>
        </w:rPr>
      </w:pPr>
      <w:r w:rsidRPr="00C06A12">
        <w:rPr>
          <w:b/>
          <w:bCs/>
          <w:lang w:val="fr-FR"/>
        </w:rPr>
        <w:t>Export PDF à la demande</w:t>
      </w:r>
      <w:r w:rsidRPr="00C06A12">
        <w:rPr>
          <w:lang w:val="fr-FR"/>
        </w:rPr>
        <w:t xml:space="preserve"> : le référentiel des natures, ainsi que chaque liste de lignes générales et spécifiques (en cours ou archivées), </w:t>
      </w:r>
      <w:r w:rsidR="004346C7" w:rsidRPr="00C06A12">
        <w:rPr>
          <w:lang w:val="fr-FR"/>
        </w:rPr>
        <w:t>peuvent</w:t>
      </w:r>
      <w:r w:rsidRPr="00C06A12">
        <w:rPr>
          <w:lang w:val="fr-FR"/>
        </w:rPr>
        <w:t xml:space="preserve"> être exporté en PDF en un clic, prêt à être partagé ou archivé – plus besoin de ressaisir les données dans un autre outil pour produire un document présentable.</w:t>
      </w:r>
    </w:p>
    <w:p w14:paraId="34BC1874"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Cycle couvert</w:t>
      </w:r>
      <w:r w:rsidRPr="00C06A12">
        <w:rPr>
          <w:lang w:val="fr-FR"/>
        </w:rPr>
        <w:t xml:space="preserve"> : définition du référentiel → création et gestion des lignes → suivi des opérations imputées → surveillance des échéances → désactivation ou archivage.</w:t>
      </w:r>
    </w:p>
    <w:p w14:paraId="2F02DBB4" w14:textId="77777777" w:rsidR="001B4C95" w:rsidRPr="00C06A12" w:rsidRDefault="00000000">
      <w:pPr>
        <w:pStyle w:val="Titre2"/>
        <w:spacing w:before="280" w:after="140"/>
        <w:rPr>
          <w:lang w:val="fr-FR"/>
        </w:rPr>
      </w:pPr>
      <w:r w:rsidRPr="00C06A12">
        <w:rPr>
          <w:lang w:val="fr-FR"/>
        </w:rPr>
        <w:t>Natures de lignes fonctionnelles actuellement supportées</w:t>
      </w:r>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4513"/>
        <w:gridCol w:w="4513"/>
      </w:tblGrid>
      <w:tr w:rsidR="001B4C95" w:rsidRPr="00C06A12" w14:paraId="3F2395CE" w14:textId="77777777">
        <w:tblPrEx>
          <w:tblCellMar>
            <w:top w:w="0" w:type="dxa"/>
            <w:bottom w:w="0" w:type="dxa"/>
          </w:tblCellMar>
        </w:tblPrEx>
        <w:trPr>
          <w:tblHeader/>
        </w:trPr>
        <w:tc>
          <w:tcPr>
            <w:tcW w:w="4513" w:type="dxa"/>
            <w:shd w:val="clear" w:color="auto" w:fill="1F3864"/>
            <w:tcMar>
              <w:top w:w="100" w:type="dxa"/>
              <w:left w:w="120" w:type="dxa"/>
              <w:bottom w:w="100" w:type="dxa"/>
              <w:right w:w="120" w:type="dxa"/>
            </w:tcMar>
            <w:vAlign w:val="center"/>
          </w:tcPr>
          <w:p w14:paraId="1BB35FC2" w14:textId="77777777" w:rsidR="001B4C95" w:rsidRPr="00C06A12" w:rsidRDefault="00000000">
            <w:r w:rsidRPr="00C06A12">
              <w:rPr>
                <w:b/>
                <w:bCs/>
                <w:color w:val="FFFFFF"/>
                <w:sz w:val="20"/>
                <w:szCs w:val="20"/>
              </w:rPr>
              <w:t>Nature</w:t>
            </w:r>
          </w:p>
        </w:tc>
        <w:tc>
          <w:tcPr>
            <w:tcW w:w="4513" w:type="dxa"/>
            <w:shd w:val="clear" w:color="auto" w:fill="1F3864"/>
            <w:tcMar>
              <w:top w:w="100" w:type="dxa"/>
              <w:left w:w="120" w:type="dxa"/>
              <w:bottom w:w="100" w:type="dxa"/>
              <w:right w:w="120" w:type="dxa"/>
            </w:tcMar>
            <w:vAlign w:val="center"/>
          </w:tcPr>
          <w:p w14:paraId="4B6D675F" w14:textId="77777777" w:rsidR="001B4C95" w:rsidRPr="00C06A12" w:rsidRDefault="00000000">
            <w:r w:rsidRPr="00C06A12">
              <w:rPr>
                <w:b/>
                <w:bCs/>
                <w:color w:val="FFFFFF"/>
                <w:sz w:val="20"/>
                <w:szCs w:val="20"/>
              </w:rPr>
              <w:t>Portée</w:t>
            </w:r>
          </w:p>
        </w:tc>
      </w:tr>
      <w:tr w:rsidR="001B4C95" w:rsidRPr="00C06A12" w14:paraId="287C99B7" w14:textId="77777777">
        <w:tblPrEx>
          <w:tblCellMar>
            <w:top w:w="0" w:type="dxa"/>
            <w:bottom w:w="0" w:type="dxa"/>
          </w:tblCellMar>
        </w:tblPrEx>
        <w:tc>
          <w:tcPr>
            <w:tcW w:w="4513" w:type="dxa"/>
            <w:tcMar>
              <w:top w:w="100" w:type="dxa"/>
              <w:left w:w="120" w:type="dxa"/>
              <w:bottom w:w="100" w:type="dxa"/>
              <w:right w:w="120" w:type="dxa"/>
            </w:tcMar>
            <w:vAlign w:val="center"/>
          </w:tcPr>
          <w:p w14:paraId="5336E80F" w14:textId="77777777" w:rsidR="001B4C95" w:rsidRPr="00C06A12" w:rsidRDefault="00000000">
            <w:r w:rsidRPr="00C06A12">
              <w:rPr>
                <w:color w:val="262626"/>
                <w:sz w:val="20"/>
                <w:szCs w:val="20"/>
              </w:rPr>
              <w:t>Facilité de Caisse</w:t>
            </w:r>
          </w:p>
        </w:tc>
        <w:tc>
          <w:tcPr>
            <w:tcW w:w="4513" w:type="dxa"/>
            <w:tcMar>
              <w:top w:w="100" w:type="dxa"/>
              <w:left w:w="120" w:type="dxa"/>
              <w:bottom w:w="100" w:type="dxa"/>
              <w:right w:w="120" w:type="dxa"/>
            </w:tcMar>
            <w:vAlign w:val="center"/>
          </w:tcPr>
          <w:p w14:paraId="7C717AB0" w14:textId="77777777" w:rsidR="001B4C95" w:rsidRPr="00C06A12" w:rsidRDefault="00000000">
            <w:r w:rsidRPr="00C06A12">
              <w:rPr>
                <w:color w:val="262626"/>
                <w:sz w:val="20"/>
                <w:szCs w:val="20"/>
              </w:rPr>
              <w:t>Générale</w:t>
            </w:r>
          </w:p>
        </w:tc>
      </w:tr>
      <w:tr w:rsidR="001B4C95" w:rsidRPr="00C06A12" w14:paraId="4A8D1E17" w14:textId="77777777">
        <w:tblPrEx>
          <w:tblCellMar>
            <w:top w:w="0" w:type="dxa"/>
            <w:bottom w:w="0" w:type="dxa"/>
          </w:tblCellMar>
        </w:tblPrEx>
        <w:tc>
          <w:tcPr>
            <w:tcW w:w="4513" w:type="dxa"/>
            <w:tcMar>
              <w:top w:w="100" w:type="dxa"/>
              <w:left w:w="120" w:type="dxa"/>
              <w:bottom w:w="100" w:type="dxa"/>
              <w:right w:w="120" w:type="dxa"/>
            </w:tcMar>
            <w:vAlign w:val="center"/>
          </w:tcPr>
          <w:p w14:paraId="4F21CAFC" w14:textId="77777777" w:rsidR="001B4C95" w:rsidRPr="00C06A12" w:rsidRDefault="00000000">
            <w:r w:rsidRPr="00C06A12">
              <w:rPr>
                <w:color w:val="262626"/>
                <w:sz w:val="20"/>
                <w:szCs w:val="20"/>
              </w:rPr>
              <w:t>Escompte Commercial</w:t>
            </w:r>
          </w:p>
        </w:tc>
        <w:tc>
          <w:tcPr>
            <w:tcW w:w="4513" w:type="dxa"/>
            <w:tcMar>
              <w:top w:w="100" w:type="dxa"/>
              <w:left w:w="120" w:type="dxa"/>
              <w:bottom w:w="100" w:type="dxa"/>
              <w:right w:w="120" w:type="dxa"/>
            </w:tcMar>
            <w:vAlign w:val="center"/>
          </w:tcPr>
          <w:p w14:paraId="5E7506A7" w14:textId="77777777" w:rsidR="001B4C95" w:rsidRPr="00C06A12" w:rsidRDefault="00000000">
            <w:r w:rsidRPr="00C06A12">
              <w:rPr>
                <w:color w:val="262626"/>
                <w:sz w:val="20"/>
                <w:szCs w:val="20"/>
              </w:rPr>
              <w:t>Générale</w:t>
            </w:r>
          </w:p>
        </w:tc>
      </w:tr>
      <w:tr w:rsidR="001B4C95" w:rsidRPr="00C06A12" w14:paraId="396B3E51" w14:textId="77777777">
        <w:tblPrEx>
          <w:tblCellMar>
            <w:top w:w="0" w:type="dxa"/>
            <w:bottom w:w="0" w:type="dxa"/>
          </w:tblCellMar>
        </w:tblPrEx>
        <w:tc>
          <w:tcPr>
            <w:tcW w:w="4513" w:type="dxa"/>
            <w:tcMar>
              <w:top w:w="100" w:type="dxa"/>
              <w:left w:w="120" w:type="dxa"/>
              <w:bottom w:w="100" w:type="dxa"/>
              <w:right w:w="120" w:type="dxa"/>
            </w:tcMar>
            <w:vAlign w:val="center"/>
          </w:tcPr>
          <w:p w14:paraId="22C84800" w14:textId="77777777" w:rsidR="001B4C95" w:rsidRPr="00C06A12" w:rsidRDefault="00000000">
            <w:r w:rsidRPr="00C06A12">
              <w:rPr>
                <w:color w:val="262626"/>
                <w:sz w:val="20"/>
                <w:szCs w:val="20"/>
              </w:rPr>
              <w:t>Cautions Provisoires</w:t>
            </w:r>
          </w:p>
        </w:tc>
        <w:tc>
          <w:tcPr>
            <w:tcW w:w="4513" w:type="dxa"/>
            <w:tcMar>
              <w:top w:w="100" w:type="dxa"/>
              <w:left w:w="120" w:type="dxa"/>
              <w:bottom w:w="100" w:type="dxa"/>
              <w:right w:w="120" w:type="dxa"/>
            </w:tcMar>
            <w:vAlign w:val="center"/>
          </w:tcPr>
          <w:p w14:paraId="787EF433" w14:textId="77777777" w:rsidR="001B4C95" w:rsidRPr="00C06A12" w:rsidRDefault="00000000">
            <w:r w:rsidRPr="00C06A12">
              <w:rPr>
                <w:color w:val="262626"/>
                <w:sz w:val="20"/>
                <w:szCs w:val="20"/>
              </w:rPr>
              <w:t>Générale et Spécifique</w:t>
            </w:r>
          </w:p>
        </w:tc>
      </w:tr>
      <w:tr w:rsidR="001B4C95" w:rsidRPr="00C06A12" w14:paraId="31C93312" w14:textId="77777777">
        <w:tblPrEx>
          <w:tblCellMar>
            <w:top w:w="0" w:type="dxa"/>
            <w:bottom w:w="0" w:type="dxa"/>
          </w:tblCellMar>
        </w:tblPrEx>
        <w:tc>
          <w:tcPr>
            <w:tcW w:w="4513" w:type="dxa"/>
            <w:tcMar>
              <w:top w:w="100" w:type="dxa"/>
              <w:left w:w="120" w:type="dxa"/>
              <w:bottom w:w="100" w:type="dxa"/>
              <w:right w:w="120" w:type="dxa"/>
            </w:tcMar>
            <w:vAlign w:val="center"/>
          </w:tcPr>
          <w:p w14:paraId="62427194" w14:textId="77777777" w:rsidR="001B4C95" w:rsidRPr="00C06A12" w:rsidRDefault="00000000">
            <w:r w:rsidRPr="00C06A12">
              <w:rPr>
                <w:color w:val="262626"/>
                <w:sz w:val="20"/>
                <w:szCs w:val="20"/>
              </w:rPr>
              <w:lastRenderedPageBreak/>
              <w:t>Cautions Définitives</w:t>
            </w:r>
          </w:p>
        </w:tc>
        <w:tc>
          <w:tcPr>
            <w:tcW w:w="4513" w:type="dxa"/>
            <w:tcMar>
              <w:top w:w="100" w:type="dxa"/>
              <w:left w:w="120" w:type="dxa"/>
              <w:bottom w:w="100" w:type="dxa"/>
              <w:right w:w="120" w:type="dxa"/>
            </w:tcMar>
            <w:vAlign w:val="center"/>
          </w:tcPr>
          <w:p w14:paraId="2A0C37E6" w14:textId="77777777" w:rsidR="001B4C95" w:rsidRPr="00C06A12" w:rsidRDefault="00000000">
            <w:r w:rsidRPr="00C06A12">
              <w:rPr>
                <w:color w:val="262626"/>
                <w:sz w:val="20"/>
                <w:szCs w:val="20"/>
              </w:rPr>
              <w:t>Générale et Spécifique</w:t>
            </w:r>
          </w:p>
        </w:tc>
      </w:tr>
      <w:tr w:rsidR="001B4C95" w:rsidRPr="00C06A12" w14:paraId="6B47BD09" w14:textId="77777777">
        <w:tblPrEx>
          <w:tblCellMar>
            <w:top w:w="0" w:type="dxa"/>
            <w:bottom w:w="0" w:type="dxa"/>
          </w:tblCellMar>
        </w:tblPrEx>
        <w:tc>
          <w:tcPr>
            <w:tcW w:w="4513" w:type="dxa"/>
            <w:tcMar>
              <w:top w:w="100" w:type="dxa"/>
              <w:left w:w="120" w:type="dxa"/>
              <w:bottom w:w="100" w:type="dxa"/>
              <w:right w:w="120" w:type="dxa"/>
            </w:tcMar>
            <w:vAlign w:val="center"/>
          </w:tcPr>
          <w:p w14:paraId="0EB8FC14" w14:textId="77777777" w:rsidR="001B4C95" w:rsidRPr="00C06A12" w:rsidRDefault="00000000">
            <w:r w:rsidRPr="00C06A12">
              <w:rPr>
                <w:color w:val="262626"/>
                <w:sz w:val="20"/>
                <w:szCs w:val="20"/>
              </w:rPr>
              <w:t>Cautions Retenue de Garantie</w:t>
            </w:r>
          </w:p>
        </w:tc>
        <w:tc>
          <w:tcPr>
            <w:tcW w:w="4513" w:type="dxa"/>
            <w:tcMar>
              <w:top w:w="100" w:type="dxa"/>
              <w:left w:w="120" w:type="dxa"/>
              <w:bottom w:w="100" w:type="dxa"/>
              <w:right w:w="120" w:type="dxa"/>
            </w:tcMar>
            <w:vAlign w:val="center"/>
          </w:tcPr>
          <w:p w14:paraId="69AB4A21" w14:textId="77777777" w:rsidR="001B4C95" w:rsidRPr="00C06A12" w:rsidRDefault="00000000">
            <w:r w:rsidRPr="00C06A12">
              <w:rPr>
                <w:color w:val="262626"/>
                <w:sz w:val="20"/>
                <w:szCs w:val="20"/>
              </w:rPr>
              <w:t>Générale et Spécifique</w:t>
            </w:r>
          </w:p>
        </w:tc>
      </w:tr>
      <w:tr w:rsidR="001B4C95" w:rsidRPr="00C06A12" w14:paraId="41A3B9C6" w14:textId="77777777">
        <w:tblPrEx>
          <w:tblCellMar>
            <w:top w:w="0" w:type="dxa"/>
            <w:bottom w:w="0" w:type="dxa"/>
          </w:tblCellMar>
        </w:tblPrEx>
        <w:tc>
          <w:tcPr>
            <w:tcW w:w="4513" w:type="dxa"/>
            <w:tcMar>
              <w:top w:w="100" w:type="dxa"/>
              <w:left w:w="120" w:type="dxa"/>
              <w:bottom w:w="100" w:type="dxa"/>
              <w:right w:w="120" w:type="dxa"/>
            </w:tcMar>
            <w:vAlign w:val="center"/>
          </w:tcPr>
          <w:p w14:paraId="3A2BF56F" w14:textId="77777777" w:rsidR="001B4C95" w:rsidRPr="00C06A12" w:rsidRDefault="00000000">
            <w:r w:rsidRPr="00C06A12">
              <w:rPr>
                <w:color w:val="262626"/>
                <w:sz w:val="20"/>
                <w:szCs w:val="20"/>
              </w:rPr>
              <w:t>Cautions Diverses</w:t>
            </w:r>
          </w:p>
        </w:tc>
        <w:tc>
          <w:tcPr>
            <w:tcW w:w="4513" w:type="dxa"/>
            <w:tcMar>
              <w:top w:w="100" w:type="dxa"/>
              <w:left w:w="120" w:type="dxa"/>
              <w:bottom w:w="100" w:type="dxa"/>
              <w:right w:w="120" w:type="dxa"/>
            </w:tcMar>
            <w:vAlign w:val="center"/>
          </w:tcPr>
          <w:p w14:paraId="43738435" w14:textId="77777777" w:rsidR="001B4C95" w:rsidRPr="00C06A12" w:rsidRDefault="00000000">
            <w:r w:rsidRPr="00C06A12">
              <w:rPr>
                <w:color w:val="262626"/>
                <w:sz w:val="20"/>
                <w:szCs w:val="20"/>
              </w:rPr>
              <w:t>Générale et Spécifique</w:t>
            </w:r>
          </w:p>
        </w:tc>
      </w:tr>
      <w:tr w:rsidR="001B4C95" w:rsidRPr="00C06A12" w14:paraId="424878AC" w14:textId="77777777">
        <w:tblPrEx>
          <w:tblCellMar>
            <w:top w:w="0" w:type="dxa"/>
            <w:bottom w:w="0" w:type="dxa"/>
          </w:tblCellMar>
        </w:tblPrEx>
        <w:tc>
          <w:tcPr>
            <w:tcW w:w="4513" w:type="dxa"/>
            <w:tcMar>
              <w:top w:w="100" w:type="dxa"/>
              <w:left w:w="120" w:type="dxa"/>
              <w:bottom w:w="100" w:type="dxa"/>
              <w:right w:w="120" w:type="dxa"/>
            </w:tcMar>
            <w:vAlign w:val="center"/>
          </w:tcPr>
          <w:p w14:paraId="411AB693" w14:textId="77777777" w:rsidR="001B4C95" w:rsidRPr="00C06A12" w:rsidRDefault="00000000">
            <w:r w:rsidRPr="00C06A12">
              <w:rPr>
                <w:color w:val="262626"/>
                <w:sz w:val="20"/>
                <w:szCs w:val="20"/>
              </w:rPr>
              <w:t>Avance sur Marchés Nantis</w:t>
            </w:r>
          </w:p>
        </w:tc>
        <w:tc>
          <w:tcPr>
            <w:tcW w:w="4513" w:type="dxa"/>
            <w:tcMar>
              <w:top w:w="100" w:type="dxa"/>
              <w:left w:w="120" w:type="dxa"/>
              <w:bottom w:w="100" w:type="dxa"/>
              <w:right w:w="120" w:type="dxa"/>
            </w:tcMar>
            <w:vAlign w:val="center"/>
          </w:tcPr>
          <w:p w14:paraId="38DAF07B" w14:textId="77777777" w:rsidR="001B4C95" w:rsidRPr="00C06A12" w:rsidRDefault="00000000">
            <w:r w:rsidRPr="00C06A12">
              <w:rPr>
                <w:color w:val="262626"/>
                <w:sz w:val="20"/>
                <w:szCs w:val="20"/>
              </w:rPr>
              <w:t>Générale et Spécifique</w:t>
            </w:r>
          </w:p>
        </w:tc>
      </w:tr>
      <w:tr w:rsidR="001B4C95" w:rsidRPr="00C06A12" w14:paraId="64CAE6B2" w14:textId="77777777">
        <w:tblPrEx>
          <w:tblCellMar>
            <w:top w:w="0" w:type="dxa"/>
            <w:bottom w:w="0" w:type="dxa"/>
          </w:tblCellMar>
        </w:tblPrEx>
        <w:tc>
          <w:tcPr>
            <w:tcW w:w="4513" w:type="dxa"/>
            <w:tcMar>
              <w:top w:w="100" w:type="dxa"/>
              <w:left w:w="120" w:type="dxa"/>
              <w:bottom w:w="100" w:type="dxa"/>
              <w:right w:w="120" w:type="dxa"/>
            </w:tcMar>
            <w:vAlign w:val="center"/>
          </w:tcPr>
          <w:p w14:paraId="714A3E17" w14:textId="77777777" w:rsidR="001B4C95" w:rsidRPr="00C06A12" w:rsidRDefault="00000000">
            <w:r w:rsidRPr="00C06A12">
              <w:rPr>
                <w:color w:val="262626"/>
                <w:sz w:val="20"/>
                <w:szCs w:val="20"/>
              </w:rPr>
              <w:t>CREDOC</w:t>
            </w:r>
          </w:p>
        </w:tc>
        <w:tc>
          <w:tcPr>
            <w:tcW w:w="4513" w:type="dxa"/>
            <w:tcMar>
              <w:top w:w="100" w:type="dxa"/>
              <w:left w:w="120" w:type="dxa"/>
              <w:bottom w:w="100" w:type="dxa"/>
              <w:right w:w="120" w:type="dxa"/>
            </w:tcMar>
            <w:vAlign w:val="center"/>
          </w:tcPr>
          <w:p w14:paraId="483CEFDE" w14:textId="77777777" w:rsidR="001B4C95" w:rsidRPr="00C06A12" w:rsidRDefault="00000000">
            <w:r w:rsidRPr="00C06A12">
              <w:rPr>
                <w:color w:val="262626"/>
                <w:sz w:val="20"/>
                <w:szCs w:val="20"/>
              </w:rPr>
              <w:t>Générale</w:t>
            </w:r>
          </w:p>
        </w:tc>
      </w:tr>
      <w:tr w:rsidR="001B4C95" w:rsidRPr="00C06A12" w14:paraId="65E77DD7" w14:textId="77777777">
        <w:tblPrEx>
          <w:tblCellMar>
            <w:top w:w="0" w:type="dxa"/>
            <w:bottom w:w="0" w:type="dxa"/>
          </w:tblCellMar>
        </w:tblPrEx>
        <w:tc>
          <w:tcPr>
            <w:tcW w:w="4513" w:type="dxa"/>
            <w:tcMar>
              <w:top w:w="100" w:type="dxa"/>
              <w:left w:w="120" w:type="dxa"/>
              <w:bottom w:w="100" w:type="dxa"/>
              <w:right w:w="120" w:type="dxa"/>
            </w:tcMar>
            <w:vAlign w:val="center"/>
          </w:tcPr>
          <w:p w14:paraId="57012CB4" w14:textId="77777777" w:rsidR="001B4C95" w:rsidRPr="00C06A12" w:rsidRDefault="00000000">
            <w:r w:rsidRPr="00C06A12">
              <w:rPr>
                <w:color w:val="262626"/>
                <w:sz w:val="20"/>
                <w:szCs w:val="20"/>
              </w:rPr>
              <w:t>AVAL</w:t>
            </w:r>
          </w:p>
        </w:tc>
        <w:tc>
          <w:tcPr>
            <w:tcW w:w="4513" w:type="dxa"/>
            <w:tcMar>
              <w:top w:w="100" w:type="dxa"/>
              <w:left w:w="120" w:type="dxa"/>
              <w:bottom w:w="100" w:type="dxa"/>
              <w:right w:w="120" w:type="dxa"/>
            </w:tcMar>
            <w:vAlign w:val="center"/>
          </w:tcPr>
          <w:p w14:paraId="631CE0C3" w14:textId="77777777" w:rsidR="001B4C95" w:rsidRPr="00C06A12" w:rsidRDefault="00000000">
            <w:r w:rsidRPr="00C06A12">
              <w:rPr>
                <w:color w:val="262626"/>
                <w:sz w:val="20"/>
                <w:szCs w:val="20"/>
              </w:rPr>
              <w:t>Générale</w:t>
            </w:r>
          </w:p>
        </w:tc>
      </w:tr>
      <w:tr w:rsidR="001B4C95" w:rsidRPr="00C06A12" w14:paraId="3E1F175C" w14:textId="77777777">
        <w:tblPrEx>
          <w:tblCellMar>
            <w:top w:w="0" w:type="dxa"/>
            <w:bottom w:w="0" w:type="dxa"/>
          </w:tblCellMar>
        </w:tblPrEx>
        <w:tc>
          <w:tcPr>
            <w:tcW w:w="4513" w:type="dxa"/>
            <w:tcMar>
              <w:top w:w="100" w:type="dxa"/>
              <w:left w:w="120" w:type="dxa"/>
              <w:bottom w:w="100" w:type="dxa"/>
              <w:right w:w="120" w:type="dxa"/>
            </w:tcMar>
            <w:vAlign w:val="center"/>
          </w:tcPr>
          <w:p w14:paraId="7CD39B9C" w14:textId="77777777" w:rsidR="001B4C95" w:rsidRPr="00C06A12" w:rsidRDefault="00000000">
            <w:r w:rsidRPr="00C06A12">
              <w:rPr>
                <w:color w:val="262626"/>
                <w:sz w:val="20"/>
                <w:szCs w:val="20"/>
              </w:rPr>
              <w:t>Refinancement</w:t>
            </w:r>
          </w:p>
        </w:tc>
        <w:tc>
          <w:tcPr>
            <w:tcW w:w="4513" w:type="dxa"/>
            <w:tcMar>
              <w:top w:w="100" w:type="dxa"/>
              <w:left w:w="120" w:type="dxa"/>
              <w:bottom w:w="100" w:type="dxa"/>
              <w:right w:w="120" w:type="dxa"/>
            </w:tcMar>
            <w:vAlign w:val="center"/>
          </w:tcPr>
          <w:p w14:paraId="5D05AF33" w14:textId="77777777" w:rsidR="001B4C95" w:rsidRPr="00C06A12" w:rsidRDefault="00000000">
            <w:r w:rsidRPr="00C06A12">
              <w:rPr>
                <w:color w:val="262626"/>
                <w:sz w:val="20"/>
                <w:szCs w:val="20"/>
              </w:rPr>
              <w:t>Générale</w:t>
            </w:r>
          </w:p>
        </w:tc>
      </w:tr>
      <w:tr w:rsidR="001B4C95" w:rsidRPr="00C06A12" w14:paraId="12AD12A9" w14:textId="77777777">
        <w:tblPrEx>
          <w:tblCellMar>
            <w:top w:w="0" w:type="dxa"/>
            <w:bottom w:w="0" w:type="dxa"/>
          </w:tblCellMar>
        </w:tblPrEx>
        <w:tc>
          <w:tcPr>
            <w:tcW w:w="4513" w:type="dxa"/>
            <w:tcMar>
              <w:top w:w="100" w:type="dxa"/>
              <w:left w:w="120" w:type="dxa"/>
              <w:bottom w:w="100" w:type="dxa"/>
              <w:right w:w="120" w:type="dxa"/>
            </w:tcMar>
            <w:vAlign w:val="center"/>
          </w:tcPr>
          <w:p w14:paraId="49D00A79" w14:textId="77777777" w:rsidR="001B4C95" w:rsidRPr="00C06A12" w:rsidRDefault="00000000">
            <w:r w:rsidRPr="00C06A12">
              <w:rPr>
                <w:color w:val="262626"/>
                <w:sz w:val="20"/>
                <w:szCs w:val="20"/>
              </w:rPr>
              <w:t>Préfinancement</w:t>
            </w:r>
          </w:p>
        </w:tc>
        <w:tc>
          <w:tcPr>
            <w:tcW w:w="4513" w:type="dxa"/>
            <w:tcMar>
              <w:top w:w="100" w:type="dxa"/>
              <w:left w:w="120" w:type="dxa"/>
              <w:bottom w:w="100" w:type="dxa"/>
              <w:right w:w="120" w:type="dxa"/>
            </w:tcMar>
            <w:vAlign w:val="center"/>
          </w:tcPr>
          <w:p w14:paraId="4D2EACEE" w14:textId="77777777" w:rsidR="001B4C95" w:rsidRPr="00C06A12" w:rsidRDefault="00000000">
            <w:r w:rsidRPr="00C06A12">
              <w:rPr>
                <w:color w:val="262626"/>
                <w:sz w:val="20"/>
                <w:szCs w:val="20"/>
              </w:rPr>
              <w:t>Générale et Spécifique</w:t>
            </w:r>
          </w:p>
        </w:tc>
      </w:tr>
      <w:tr w:rsidR="001B4C95" w:rsidRPr="00C06A12" w14:paraId="5F4A26C8" w14:textId="77777777">
        <w:tblPrEx>
          <w:tblCellMar>
            <w:top w:w="0" w:type="dxa"/>
            <w:bottom w:w="0" w:type="dxa"/>
          </w:tblCellMar>
        </w:tblPrEx>
        <w:tc>
          <w:tcPr>
            <w:tcW w:w="4513" w:type="dxa"/>
            <w:tcMar>
              <w:top w:w="100" w:type="dxa"/>
              <w:left w:w="120" w:type="dxa"/>
              <w:bottom w:w="100" w:type="dxa"/>
              <w:right w:w="120" w:type="dxa"/>
            </w:tcMar>
            <w:vAlign w:val="center"/>
          </w:tcPr>
          <w:p w14:paraId="14B19BF6" w14:textId="77777777" w:rsidR="001B4C95" w:rsidRPr="00C06A12" w:rsidRDefault="00000000">
            <w:r w:rsidRPr="00C06A12">
              <w:rPr>
                <w:color w:val="262626"/>
                <w:sz w:val="20"/>
                <w:szCs w:val="20"/>
              </w:rPr>
              <w:t>Droit constaté</w:t>
            </w:r>
          </w:p>
        </w:tc>
        <w:tc>
          <w:tcPr>
            <w:tcW w:w="4513" w:type="dxa"/>
            <w:tcMar>
              <w:top w:w="100" w:type="dxa"/>
              <w:left w:w="120" w:type="dxa"/>
              <w:bottom w:w="100" w:type="dxa"/>
              <w:right w:w="120" w:type="dxa"/>
            </w:tcMar>
            <w:vAlign w:val="center"/>
          </w:tcPr>
          <w:p w14:paraId="7CB8F98A" w14:textId="77777777" w:rsidR="001B4C95" w:rsidRPr="00C06A12" w:rsidRDefault="00000000">
            <w:r w:rsidRPr="00C06A12">
              <w:rPr>
                <w:color w:val="262626"/>
                <w:sz w:val="20"/>
                <w:szCs w:val="20"/>
              </w:rPr>
              <w:t>Générale et Spécifique</w:t>
            </w:r>
          </w:p>
        </w:tc>
      </w:tr>
      <w:tr w:rsidR="001B4C95" w:rsidRPr="00C06A12" w14:paraId="4C19EF7F" w14:textId="77777777">
        <w:tblPrEx>
          <w:tblCellMar>
            <w:top w:w="0" w:type="dxa"/>
            <w:bottom w:w="0" w:type="dxa"/>
          </w:tblCellMar>
        </w:tblPrEx>
        <w:tc>
          <w:tcPr>
            <w:tcW w:w="4513" w:type="dxa"/>
            <w:tcMar>
              <w:top w:w="100" w:type="dxa"/>
              <w:left w:w="120" w:type="dxa"/>
              <w:bottom w:w="100" w:type="dxa"/>
              <w:right w:w="120" w:type="dxa"/>
            </w:tcMar>
            <w:vAlign w:val="center"/>
          </w:tcPr>
          <w:p w14:paraId="3ABEA60A" w14:textId="77777777" w:rsidR="001B4C95" w:rsidRPr="00C06A12" w:rsidRDefault="00000000">
            <w:r w:rsidRPr="00C06A12">
              <w:rPr>
                <w:color w:val="262626"/>
                <w:sz w:val="20"/>
                <w:szCs w:val="20"/>
              </w:rPr>
              <w:t>Factoring</w:t>
            </w:r>
          </w:p>
        </w:tc>
        <w:tc>
          <w:tcPr>
            <w:tcW w:w="4513" w:type="dxa"/>
            <w:tcMar>
              <w:top w:w="100" w:type="dxa"/>
              <w:left w:w="120" w:type="dxa"/>
              <w:bottom w:w="100" w:type="dxa"/>
              <w:right w:w="120" w:type="dxa"/>
            </w:tcMar>
            <w:vAlign w:val="center"/>
          </w:tcPr>
          <w:p w14:paraId="3EF4B03D" w14:textId="77777777" w:rsidR="001B4C95" w:rsidRPr="00C06A12" w:rsidRDefault="00000000">
            <w:r w:rsidRPr="00C06A12">
              <w:rPr>
                <w:color w:val="262626"/>
                <w:sz w:val="20"/>
                <w:szCs w:val="20"/>
              </w:rPr>
              <w:t>Spécifique</w:t>
            </w:r>
          </w:p>
        </w:tc>
      </w:tr>
      <w:tr w:rsidR="001B4C95" w:rsidRPr="00C06A12" w14:paraId="009525A9" w14:textId="77777777">
        <w:tblPrEx>
          <w:tblCellMar>
            <w:top w:w="0" w:type="dxa"/>
            <w:bottom w:w="0" w:type="dxa"/>
          </w:tblCellMar>
        </w:tblPrEx>
        <w:tc>
          <w:tcPr>
            <w:tcW w:w="4513" w:type="dxa"/>
            <w:tcMar>
              <w:top w:w="100" w:type="dxa"/>
              <w:left w:w="120" w:type="dxa"/>
              <w:bottom w:w="100" w:type="dxa"/>
              <w:right w:w="120" w:type="dxa"/>
            </w:tcMar>
            <w:vAlign w:val="center"/>
          </w:tcPr>
          <w:p w14:paraId="1A05C517" w14:textId="77777777" w:rsidR="001B4C95" w:rsidRPr="00C06A12" w:rsidRDefault="00000000">
            <w:r w:rsidRPr="00C06A12">
              <w:rPr>
                <w:color w:val="262626"/>
                <w:sz w:val="20"/>
                <w:szCs w:val="20"/>
              </w:rPr>
              <w:t>Caution restitution d’acompte</w:t>
            </w:r>
          </w:p>
        </w:tc>
        <w:tc>
          <w:tcPr>
            <w:tcW w:w="4513" w:type="dxa"/>
            <w:tcMar>
              <w:top w:w="100" w:type="dxa"/>
              <w:left w:w="120" w:type="dxa"/>
              <w:bottom w:w="100" w:type="dxa"/>
              <w:right w:w="120" w:type="dxa"/>
            </w:tcMar>
            <w:vAlign w:val="center"/>
          </w:tcPr>
          <w:p w14:paraId="6A66B0AF" w14:textId="77777777" w:rsidR="001B4C95" w:rsidRPr="00C06A12" w:rsidRDefault="00000000">
            <w:r w:rsidRPr="00C06A12">
              <w:rPr>
                <w:color w:val="262626"/>
                <w:sz w:val="20"/>
                <w:szCs w:val="20"/>
              </w:rPr>
              <w:t>Générale et Spécifique</w:t>
            </w:r>
          </w:p>
        </w:tc>
      </w:tr>
      <w:tr w:rsidR="001B4C95" w:rsidRPr="00C06A12" w14:paraId="6F5A54DF" w14:textId="77777777">
        <w:tblPrEx>
          <w:tblCellMar>
            <w:top w:w="0" w:type="dxa"/>
            <w:bottom w:w="0" w:type="dxa"/>
          </w:tblCellMar>
        </w:tblPrEx>
        <w:tc>
          <w:tcPr>
            <w:tcW w:w="4513" w:type="dxa"/>
            <w:tcMar>
              <w:top w:w="100" w:type="dxa"/>
              <w:left w:w="120" w:type="dxa"/>
              <w:bottom w:w="100" w:type="dxa"/>
              <w:right w:w="120" w:type="dxa"/>
            </w:tcMar>
            <w:vAlign w:val="center"/>
          </w:tcPr>
          <w:p w14:paraId="74D27013" w14:textId="77777777" w:rsidR="001B4C95" w:rsidRPr="00C06A12" w:rsidRDefault="00000000">
            <w:proofErr w:type="spellStart"/>
            <w:r w:rsidRPr="00C06A12">
              <w:rPr>
                <w:color w:val="262626"/>
                <w:sz w:val="20"/>
                <w:szCs w:val="20"/>
              </w:rPr>
              <w:t>Confirming</w:t>
            </w:r>
            <w:proofErr w:type="spellEnd"/>
          </w:p>
        </w:tc>
        <w:tc>
          <w:tcPr>
            <w:tcW w:w="4513" w:type="dxa"/>
            <w:tcMar>
              <w:top w:w="100" w:type="dxa"/>
              <w:left w:w="120" w:type="dxa"/>
              <w:bottom w:w="100" w:type="dxa"/>
              <w:right w:w="120" w:type="dxa"/>
            </w:tcMar>
            <w:vAlign w:val="center"/>
          </w:tcPr>
          <w:p w14:paraId="48228522" w14:textId="77777777" w:rsidR="001B4C95" w:rsidRPr="00C06A12" w:rsidRDefault="00000000">
            <w:r w:rsidRPr="00C06A12">
              <w:rPr>
                <w:color w:val="262626"/>
                <w:sz w:val="20"/>
                <w:szCs w:val="20"/>
              </w:rPr>
              <w:t>Générale</w:t>
            </w:r>
          </w:p>
        </w:tc>
      </w:tr>
      <w:tr w:rsidR="001B4C95" w:rsidRPr="00C06A12" w14:paraId="3F31833A" w14:textId="77777777">
        <w:tblPrEx>
          <w:tblCellMar>
            <w:top w:w="0" w:type="dxa"/>
            <w:bottom w:w="0" w:type="dxa"/>
          </w:tblCellMar>
        </w:tblPrEx>
        <w:tc>
          <w:tcPr>
            <w:tcW w:w="4513" w:type="dxa"/>
            <w:tcMar>
              <w:top w:w="100" w:type="dxa"/>
              <w:left w:w="120" w:type="dxa"/>
              <w:bottom w:w="100" w:type="dxa"/>
              <w:right w:w="120" w:type="dxa"/>
            </w:tcMar>
            <w:vAlign w:val="center"/>
          </w:tcPr>
          <w:p w14:paraId="7776E1F3" w14:textId="77777777" w:rsidR="001B4C95" w:rsidRPr="00C06A12" w:rsidRDefault="00000000">
            <w:r w:rsidRPr="00C06A12">
              <w:rPr>
                <w:color w:val="262626"/>
                <w:sz w:val="20"/>
                <w:szCs w:val="20"/>
              </w:rPr>
              <w:t>Caution Administrative</w:t>
            </w:r>
          </w:p>
        </w:tc>
        <w:tc>
          <w:tcPr>
            <w:tcW w:w="4513" w:type="dxa"/>
            <w:tcMar>
              <w:top w:w="100" w:type="dxa"/>
              <w:left w:w="120" w:type="dxa"/>
              <w:bottom w:w="100" w:type="dxa"/>
              <w:right w:w="120" w:type="dxa"/>
            </w:tcMar>
            <w:vAlign w:val="center"/>
          </w:tcPr>
          <w:p w14:paraId="26C719B2" w14:textId="77777777" w:rsidR="001B4C95" w:rsidRPr="00C06A12" w:rsidRDefault="00000000">
            <w:r w:rsidRPr="00C06A12">
              <w:rPr>
                <w:color w:val="262626"/>
                <w:sz w:val="20"/>
                <w:szCs w:val="20"/>
              </w:rPr>
              <w:t>Générale et Spécifique</w:t>
            </w:r>
          </w:p>
        </w:tc>
      </w:tr>
    </w:tbl>
    <w:p w14:paraId="69841F6F" w14:textId="77777777" w:rsidR="001B4C95" w:rsidRPr="00C06A12" w:rsidRDefault="001B4C95">
      <w:pPr>
        <w:spacing w:after="200"/>
      </w:pPr>
    </w:p>
    <w:p w14:paraId="0CB6DD96" w14:textId="77777777" w:rsidR="001B4C95" w:rsidRPr="00C06A12" w:rsidRDefault="001B4C95">
      <w:pPr>
        <w:pageBreakBefore/>
      </w:pPr>
    </w:p>
    <w:p w14:paraId="5E5F8B6C" w14:textId="77777777" w:rsidR="001B4C95" w:rsidRPr="00C06A12" w:rsidRDefault="00000000">
      <w:pPr>
        <w:pStyle w:val="Titre1"/>
        <w:pBdr>
          <w:bottom w:val="single" w:sz="8" w:space="8" w:color="B08D57"/>
        </w:pBdr>
        <w:spacing w:after="240"/>
        <w:rPr>
          <w:lang w:val="fr-FR"/>
        </w:rPr>
      </w:pPr>
      <w:bookmarkStart w:id="6" w:name="chap7"/>
      <w:r w:rsidRPr="00C06A12">
        <w:rPr>
          <w:lang w:val="fr-FR"/>
        </w:rPr>
        <w:t>Chapitre 7 – Leasing</w:t>
      </w:r>
      <w:bookmarkEnd w:id="6"/>
    </w:p>
    <w:p w14:paraId="12749676" w14:textId="77777777" w:rsidR="001B4C95" w:rsidRPr="00C06A12" w:rsidRDefault="00000000">
      <w:pPr>
        <w:pStyle w:val="Titre2"/>
        <w:spacing w:before="280" w:after="140"/>
        <w:rPr>
          <w:lang w:val="fr-FR"/>
        </w:rPr>
      </w:pPr>
      <w:r w:rsidRPr="00C06A12">
        <w:rPr>
          <w:lang w:val="fr-FR"/>
        </w:rPr>
        <w:t>Ce que ce module résout</w:t>
      </w:r>
    </w:p>
    <w:p w14:paraId="1DBCF9BF" w14:textId="77777777" w:rsidR="001B4C95" w:rsidRPr="00C06A12" w:rsidRDefault="00000000">
      <w:pPr>
        <w:spacing w:after="200" w:line="288" w:lineRule="auto"/>
        <w:jc w:val="both"/>
      </w:pPr>
      <w:r w:rsidRPr="00C06A12">
        <w:t>G-Banque automatise l’intégralité du cycle de vie des contrats de crédit-bail (leasing) de Staport, de la signature à la main levée : calcul du tableau d’amortissement, suivi des paiements, commissions et alertes d’échéance sont pris en charge automatiquement par le système.</w:t>
      </w:r>
    </w:p>
    <w:p w14:paraId="75C5D5CC" w14:textId="77777777" w:rsidR="001B4C95" w:rsidRPr="00C06A12" w:rsidRDefault="00000000">
      <w:pPr>
        <w:pStyle w:val="Titre2"/>
        <w:spacing w:before="280" w:after="140"/>
        <w:rPr>
          <w:lang w:val="fr-FR"/>
        </w:rPr>
      </w:pPr>
      <w:r w:rsidRPr="00C06A12">
        <w:rPr>
          <w:lang w:val="fr-FR"/>
        </w:rPr>
        <w:t>Ce que le système apporte</w:t>
      </w:r>
    </w:p>
    <w:p w14:paraId="41A7E2E7"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Tableau d’amortissement automatique</w:t>
      </w:r>
      <w:r w:rsidRPr="00C06A12">
        <w:rPr>
          <w:lang w:val="fr-FR"/>
        </w:rPr>
        <w:t xml:space="preserve"> : dès la saisie d’un contrat (organisme, montant, durée, type de loyer), le système génère les mensualités et la valeur résiduelle finale – aucun calcul manuel. Trois structures supportées : loyer constant (linéaire), croissant (progressif), décroissant (dégressif), avec un tableau adapté automatiquement à chacune.</w:t>
      </w:r>
    </w:p>
    <w:p w14:paraId="60B8920E"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Suivi intégré au rapprochement</w:t>
      </w:r>
      <w:r w:rsidRPr="00C06A12">
        <w:rPr>
          <w:lang w:val="fr-FR"/>
        </w:rPr>
        <w:t xml:space="preserve"> : chaque échéance est validée directement dans le rapprochement mensuel, transaction créée automatiquement – aucune double saisie.</w:t>
      </w:r>
    </w:p>
    <w:p w14:paraId="23C810A2"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Commissions automatiques</w:t>
      </w:r>
      <w:r w:rsidRPr="00C06A12">
        <w:rPr>
          <w:lang w:val="fr-FR"/>
        </w:rPr>
        <w:t xml:space="preserve"> : pour chaque contrat, les commissions bancaires dues sur les loyers sont calculées et enregistrées automatiquement selon les règles configurées (voir module Commission) – aucun risque d’omission.</w:t>
      </w:r>
    </w:p>
    <w:p w14:paraId="4D32DFC2" w14:textId="2094094E" w:rsidR="001B4C95" w:rsidRPr="00C06A12" w:rsidRDefault="00000000">
      <w:pPr>
        <w:pStyle w:val="Paragraphedeliste"/>
        <w:numPr>
          <w:ilvl w:val="0"/>
          <w:numId w:val="2"/>
        </w:numPr>
        <w:spacing w:after="120" w:line="276" w:lineRule="auto"/>
        <w:jc w:val="both"/>
        <w:rPr>
          <w:lang w:val="fr-FR"/>
        </w:rPr>
      </w:pPr>
      <w:r w:rsidRPr="00C06A12">
        <w:rPr>
          <w:b/>
          <w:bCs/>
          <w:lang w:val="fr-FR"/>
        </w:rPr>
        <w:t>Alerte main levée automatique</w:t>
      </w:r>
      <w:r w:rsidRPr="00C06A12">
        <w:rPr>
          <w:lang w:val="fr-FR"/>
        </w:rPr>
        <w:t xml:space="preserve"> : chaque dimanche à 14h00, les contrats entièrement soldés déclenchent une notification – élimine le risque de contrat terminé non </w:t>
      </w:r>
      <w:r w:rsidR="004346C7" w:rsidRPr="00C06A12">
        <w:rPr>
          <w:lang w:val="fr-FR"/>
        </w:rPr>
        <w:t>clôturer</w:t>
      </w:r>
      <w:r w:rsidRPr="00C06A12">
        <w:rPr>
          <w:lang w:val="fr-FR"/>
        </w:rPr>
        <w:t>.</w:t>
      </w:r>
    </w:p>
    <w:p w14:paraId="33BEE534"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Vue encours par banque</w:t>
      </w:r>
      <w:r w:rsidRPr="00C06A12">
        <w:rPr>
          <w:lang w:val="fr-FR"/>
        </w:rPr>
        <w:t xml:space="preserve"> : l’encours total de leasing est consultable en temps réel, filtrable par organisme (BMCI Leasing, CIH Leasing, </w:t>
      </w:r>
      <w:proofErr w:type="spellStart"/>
      <w:r w:rsidRPr="00C06A12">
        <w:rPr>
          <w:lang w:val="fr-FR"/>
        </w:rPr>
        <w:t>Wafabail</w:t>
      </w:r>
      <w:proofErr w:type="spellEnd"/>
      <w:r w:rsidRPr="00C06A12">
        <w:rPr>
          <w:lang w:val="fr-FR"/>
        </w:rPr>
        <w:t>, etc.) ou numéro de contrat.</w:t>
      </w:r>
    </w:p>
    <w:p w14:paraId="3D6BB98F"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Traçabilité complète</w:t>
      </w:r>
      <w:r w:rsidRPr="00C06A12">
        <w:rPr>
          <w:lang w:val="fr-FR"/>
        </w:rPr>
        <w:t xml:space="preserve"> : chaque modification de contrat (qui, quand, quoi) est historisée, consultable à tout moment en cas de litige.</w:t>
      </w:r>
    </w:p>
    <w:p w14:paraId="68BA693B"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Export PDF prêt à partager</w:t>
      </w:r>
      <w:r w:rsidRPr="00C06A12">
        <w:rPr>
          <w:lang w:val="fr-FR"/>
        </w:rPr>
        <w:t xml:space="preserve"> : chaque liste (organismes, contrats cadres, contrats encours, en attente de main levée, archivés) et le tableau d’amortissement peuvent être exportés en un clic, filtres appliqués – un document prêt à transmettre sans ressaisie.</w:t>
      </w:r>
    </w:p>
    <w:p w14:paraId="5263E4CF" w14:textId="77777777" w:rsidR="001B4C95" w:rsidRPr="00C06A12" w:rsidRDefault="00000000">
      <w:pPr>
        <w:spacing w:after="200" w:line="288" w:lineRule="auto"/>
        <w:jc w:val="both"/>
      </w:pPr>
      <w:r w:rsidRPr="00C06A12">
        <w:t>Ce suivi des financements se prolonge naturellement vers les marchés de Staport eux-mêmes : G-Banque centralise chaque marché et l’ensemble des opérations financières qui s’y rattachent – cautions, décomptes, préfinancements, factoring et droits constatés – dans un même référentiel cohérent.</w:t>
      </w:r>
    </w:p>
    <w:p w14:paraId="5D4DB403" w14:textId="77777777" w:rsidR="001B4C95" w:rsidRPr="00C06A12" w:rsidRDefault="001B4C95">
      <w:pPr>
        <w:pageBreakBefore/>
      </w:pPr>
    </w:p>
    <w:p w14:paraId="08FFB6A1" w14:textId="77777777" w:rsidR="001B4C95" w:rsidRPr="00C06A12" w:rsidRDefault="00000000">
      <w:pPr>
        <w:pStyle w:val="Titre1"/>
        <w:pBdr>
          <w:bottom w:val="single" w:sz="8" w:space="8" w:color="B08D57"/>
        </w:pBdr>
        <w:spacing w:after="240"/>
        <w:rPr>
          <w:lang w:val="fr-FR"/>
        </w:rPr>
      </w:pPr>
      <w:bookmarkStart w:id="7" w:name="chap8"/>
      <w:r w:rsidRPr="00C06A12">
        <w:rPr>
          <w:lang w:val="fr-FR"/>
        </w:rPr>
        <w:t>Chapitre 8 – Marchés</w:t>
      </w:r>
      <w:bookmarkEnd w:id="7"/>
    </w:p>
    <w:p w14:paraId="550DE24E" w14:textId="77777777" w:rsidR="001B4C95" w:rsidRPr="00C06A12" w:rsidRDefault="00000000">
      <w:pPr>
        <w:pStyle w:val="Titre2"/>
        <w:spacing w:before="280" w:after="140"/>
        <w:rPr>
          <w:lang w:val="fr-FR"/>
        </w:rPr>
      </w:pPr>
      <w:r w:rsidRPr="00C06A12">
        <w:rPr>
          <w:lang w:val="fr-FR"/>
        </w:rPr>
        <w:t>Ce que ce module résout</w:t>
      </w:r>
    </w:p>
    <w:p w14:paraId="10AF9D6F" w14:textId="77777777" w:rsidR="001B4C95" w:rsidRPr="00C06A12" w:rsidRDefault="00000000">
      <w:pPr>
        <w:spacing w:after="200" w:line="288" w:lineRule="auto"/>
        <w:jc w:val="both"/>
      </w:pPr>
      <w:r w:rsidRPr="00C06A12">
        <w:t>G-Banque centralise la gestion de tous les marchés de Staport et de leur rattachement bancaire, et garantit que chaque marché est pris en compte – ou exclu, une fois archivé – de manière fiable et systématique dans l’ensemble des calculs financiers qui en dépendent : agios, encours des lignes fonctionnelles, préfinancements, droits constatés, factoring, décomptes et cautions.</w:t>
      </w:r>
    </w:p>
    <w:p w14:paraId="3C376FA9" w14:textId="77777777" w:rsidR="001B4C95" w:rsidRPr="00C06A12" w:rsidRDefault="00000000">
      <w:pPr>
        <w:pStyle w:val="Titre2"/>
        <w:spacing w:before="280" w:after="140"/>
        <w:rPr>
          <w:lang w:val="fr-FR"/>
        </w:rPr>
      </w:pPr>
      <w:r w:rsidRPr="00C06A12">
        <w:rPr>
          <w:lang w:val="fr-FR"/>
        </w:rPr>
        <w:t>Ce que le système apporte</w:t>
      </w:r>
    </w:p>
    <w:p w14:paraId="35C3730C"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Numérotation contrôlée</w:t>
      </w:r>
      <w:r w:rsidRPr="00C06A12">
        <w:rPr>
          <w:lang w:val="fr-FR"/>
        </w:rPr>
        <w:t xml:space="preserve"> : aucun marché ne peut porter le même numéro qu’un autre, à la création comme à la modification.</w:t>
      </w:r>
    </w:p>
    <w:p w14:paraId="2621663B" w14:textId="274988DB" w:rsidR="001B4C95" w:rsidRPr="00C06A12" w:rsidRDefault="00000000">
      <w:pPr>
        <w:pStyle w:val="Paragraphedeliste"/>
        <w:numPr>
          <w:ilvl w:val="0"/>
          <w:numId w:val="2"/>
        </w:numPr>
        <w:spacing w:after="120" w:line="276" w:lineRule="auto"/>
        <w:jc w:val="both"/>
        <w:rPr>
          <w:lang w:val="fr-FR"/>
        </w:rPr>
      </w:pPr>
      <w:r w:rsidRPr="00C06A12">
        <w:rPr>
          <w:b/>
          <w:bCs/>
          <w:lang w:val="fr-FR"/>
        </w:rPr>
        <w:t>Archivage réversible sans perte d’historique</w:t>
      </w:r>
      <w:r w:rsidRPr="00C06A12">
        <w:rPr>
          <w:lang w:val="fr-FR"/>
        </w:rPr>
        <w:t xml:space="preserve"> : un marché terminé </w:t>
      </w:r>
      <w:r w:rsidR="004346C7" w:rsidRPr="00C06A12">
        <w:rPr>
          <w:lang w:val="fr-FR"/>
        </w:rPr>
        <w:t>peut-être</w:t>
      </w:r>
      <w:r w:rsidRPr="00C06A12">
        <w:rPr>
          <w:lang w:val="fr-FR"/>
        </w:rPr>
        <w:t xml:space="preserve"> </w:t>
      </w:r>
      <w:proofErr w:type="gramStart"/>
      <w:r w:rsidRPr="00C06A12">
        <w:rPr>
          <w:lang w:val="fr-FR"/>
        </w:rPr>
        <w:t>archivé</w:t>
      </w:r>
      <w:proofErr w:type="gramEnd"/>
      <w:r w:rsidRPr="00C06A12">
        <w:rPr>
          <w:lang w:val="fr-FR"/>
        </w:rPr>
        <w:t xml:space="preserve"> en un clic – il sort immédiatement et définitivement des calculs financiers futurs (agios, encours) sans altérer l’historique déjà généré ; l’opération reste réversible à tout moment.</w:t>
      </w:r>
    </w:p>
    <w:p w14:paraId="6A5BBB39"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Protection contre la perte de données</w:t>
      </w:r>
      <w:r w:rsidRPr="00C06A12">
        <w:rPr>
          <w:lang w:val="fr-FR"/>
        </w:rPr>
        <w:t xml:space="preserve"> : la suppression définitive est bloquée dès qu’un marché porte des données financières (décomptes, préfinancements, droits constatés, factorings, lignes spécifiques) – le système oriente alors vers l’archivage, éliminant tout risque de perte accidentelle d’historique.</w:t>
      </w:r>
    </w:p>
    <w:p w14:paraId="5C2A7915"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Visibilité consolidée</w:t>
      </w:r>
      <w:r w:rsidRPr="00C06A12">
        <w:rPr>
          <w:lang w:val="fr-FR"/>
        </w:rPr>
        <w:t xml:space="preserve"> : chaque marché donne un accès direct à l’ensemble de ses lignes fonctionnelles (générales et spécifiques), sans recherche module par module.</w:t>
      </w:r>
    </w:p>
    <w:p w14:paraId="647412BD"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Traçabilité complète</w:t>
      </w:r>
      <w:r w:rsidRPr="00C06A12">
        <w:rPr>
          <w:lang w:val="fr-FR"/>
        </w:rPr>
        <w:t xml:space="preserve"> : chaque création, modification, suppression, archivage ou désarchivage est historisé avec auteur et date.</w:t>
      </w:r>
    </w:p>
    <w:p w14:paraId="53FFBD04"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Export PDF</w:t>
      </w:r>
      <w:r w:rsidRPr="00C06A12">
        <w:rPr>
          <w:lang w:val="fr-FR"/>
        </w:rPr>
        <w:t xml:space="preserve"> : état complet des marchés (avec filtres) exportable en un clic pour le </w:t>
      </w:r>
      <w:proofErr w:type="spellStart"/>
      <w:r w:rsidRPr="00C06A12">
        <w:rPr>
          <w:lang w:val="fr-FR"/>
        </w:rPr>
        <w:t>reporting</w:t>
      </w:r>
      <w:proofErr w:type="spellEnd"/>
      <w:r w:rsidRPr="00C06A12">
        <w:rPr>
          <w:lang w:val="fr-FR"/>
        </w:rPr>
        <w:t xml:space="preserve"> ou le partage externe.</w:t>
      </w:r>
    </w:p>
    <w:p w14:paraId="150332EC" w14:textId="77777777" w:rsidR="001B4C95" w:rsidRPr="00C06A12" w:rsidRDefault="001B4C95">
      <w:pPr>
        <w:pageBreakBefore/>
      </w:pPr>
    </w:p>
    <w:p w14:paraId="36C553DD" w14:textId="77777777" w:rsidR="001B4C95" w:rsidRPr="00C06A12" w:rsidRDefault="00000000">
      <w:pPr>
        <w:pStyle w:val="Titre1"/>
        <w:pBdr>
          <w:bottom w:val="single" w:sz="8" w:space="8" w:color="B08D57"/>
        </w:pBdr>
        <w:spacing w:after="240"/>
        <w:rPr>
          <w:lang w:val="fr-FR"/>
        </w:rPr>
      </w:pPr>
      <w:bookmarkStart w:id="8" w:name="chap9"/>
      <w:r w:rsidRPr="00C06A12">
        <w:rPr>
          <w:lang w:val="fr-FR"/>
        </w:rPr>
        <w:t>Chapitre 9 – Caution</w:t>
      </w:r>
      <w:bookmarkEnd w:id="8"/>
    </w:p>
    <w:p w14:paraId="4B2F0DBE" w14:textId="77777777" w:rsidR="001B4C95" w:rsidRPr="00C06A12" w:rsidRDefault="00000000">
      <w:pPr>
        <w:pStyle w:val="Titre2"/>
        <w:spacing w:before="280" w:after="140"/>
        <w:rPr>
          <w:lang w:val="fr-FR"/>
        </w:rPr>
      </w:pPr>
      <w:r w:rsidRPr="00C06A12">
        <w:rPr>
          <w:lang w:val="fr-FR"/>
        </w:rPr>
        <w:t>Ce que ce module résout</w:t>
      </w:r>
    </w:p>
    <w:p w14:paraId="672EFE4C" w14:textId="77777777" w:rsidR="001B4C95" w:rsidRPr="00C06A12" w:rsidRDefault="00000000">
      <w:pPr>
        <w:spacing w:after="200" w:line="288" w:lineRule="auto"/>
        <w:jc w:val="both"/>
      </w:pPr>
      <w:r w:rsidRPr="00C06A12">
        <w:t>G-Banque automatise la gestion complète des cautions bancaires de Staport, de leur émission à leur main levée : calcul des commissions dues à chaque banque partenaire, génération automatique mensuelle, et suivi du statut de chaque caution sont pris en charge directement par le système.</w:t>
      </w:r>
    </w:p>
    <w:p w14:paraId="10DEA65E" w14:textId="77777777" w:rsidR="001B4C95" w:rsidRPr="00C06A12" w:rsidRDefault="00000000">
      <w:pPr>
        <w:pStyle w:val="Titre2"/>
        <w:spacing w:before="280" w:after="140"/>
        <w:rPr>
          <w:lang w:val="fr-FR"/>
        </w:rPr>
      </w:pPr>
      <w:r w:rsidRPr="00C06A12">
        <w:rPr>
          <w:lang w:val="fr-FR"/>
        </w:rPr>
        <w:t>Ce que le système apporte</w:t>
      </w:r>
    </w:p>
    <w:p w14:paraId="48A1282F"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Commissions calculées automatiquement</w:t>
      </w:r>
      <w:r w:rsidRPr="00C06A12">
        <w:rPr>
          <w:lang w:val="fr-FR"/>
        </w:rPr>
        <w:t xml:space="preserve"> : chaque banque partenaire (AWB, BMCI, CDM, SAHAM BANK) applique sa propre formule et son propre calendrier de facturation – génération automatique chaque fin de mois (AWB, BMCI) ou début de mois (CDM), y compris les cas particuliers de prorata (caution ouverte et clôturée dans le même mois, premier mois d’une caution) et les règles propres à chaque banque, comme la non-facturation du jour de délivrance chez AWB – les commissions prévues correspondent ainsi au montant réellement prélevé par la banque.</w:t>
      </w:r>
    </w:p>
    <w:p w14:paraId="698F6A37"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TVA automatique</w:t>
      </w:r>
      <w:r w:rsidRPr="00C06A12">
        <w:rPr>
          <w:lang w:val="fr-FR"/>
        </w:rPr>
        <w:t xml:space="preserve"> : calculée et enregistrée en même temps que la commission pour les banques qui l’exigent.</w:t>
      </w:r>
    </w:p>
    <w:p w14:paraId="3DEAA356"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Paramètres administrables</w:t>
      </w:r>
      <w:r w:rsidRPr="00C06A12">
        <w:rPr>
          <w:lang w:val="fr-FR"/>
        </w:rPr>
        <w:t xml:space="preserve"> : seuils de commission minimum et mode de calcul du prorata journalier configurables par banque depuis un écran d’administration dédié, sans intervention technique.</w:t>
      </w:r>
    </w:p>
    <w:p w14:paraId="6D88EE89"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Traçabilité complète</w:t>
      </w:r>
      <w:r w:rsidRPr="00C06A12">
        <w:rPr>
          <w:lang w:val="fr-FR"/>
        </w:rPr>
        <w:t xml:space="preserve"> : chaque création, modification, suppression et clôture de caution est historisée (auteur, date), consultable à tout moment.</w:t>
      </w:r>
    </w:p>
    <w:p w14:paraId="3933E4DF"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Export PDF</w:t>
      </w:r>
      <w:r w:rsidRPr="00C06A12">
        <w:rPr>
          <w:lang w:val="fr-FR"/>
        </w:rPr>
        <w:t xml:space="preserve"> : état complet des cautions (avec filtres) exportable en un clic pour le </w:t>
      </w:r>
      <w:proofErr w:type="spellStart"/>
      <w:r w:rsidRPr="00C06A12">
        <w:rPr>
          <w:lang w:val="fr-FR"/>
        </w:rPr>
        <w:t>reporting</w:t>
      </w:r>
      <w:proofErr w:type="spellEnd"/>
      <w:r w:rsidRPr="00C06A12">
        <w:rPr>
          <w:lang w:val="fr-FR"/>
        </w:rPr>
        <w:t xml:space="preserve"> ou le partage externe.</w:t>
      </w:r>
    </w:p>
    <w:p w14:paraId="16E01675"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Couverture</w:t>
      </w:r>
      <w:r w:rsidRPr="00C06A12">
        <w:rPr>
          <w:lang w:val="fr-FR"/>
        </w:rPr>
        <w:t xml:space="preserve"> : prise → suivi mensuel des commissions → main levée, pour les quatre banques partenaires citées.</w:t>
      </w:r>
    </w:p>
    <w:p w14:paraId="2DCA3902" w14:textId="77777777" w:rsidR="001B4C95" w:rsidRPr="00C06A12" w:rsidRDefault="001B4C95">
      <w:pPr>
        <w:pageBreakBefore/>
      </w:pPr>
    </w:p>
    <w:p w14:paraId="41F9C589" w14:textId="77777777" w:rsidR="001B4C95" w:rsidRPr="00C06A12" w:rsidRDefault="00000000">
      <w:pPr>
        <w:pStyle w:val="Titre1"/>
        <w:pBdr>
          <w:bottom w:val="single" w:sz="8" w:space="8" w:color="B08D57"/>
        </w:pBdr>
        <w:spacing w:after="240"/>
        <w:rPr>
          <w:lang w:val="fr-FR"/>
        </w:rPr>
      </w:pPr>
      <w:bookmarkStart w:id="9" w:name="chap10"/>
      <w:r w:rsidRPr="00C06A12">
        <w:rPr>
          <w:lang w:val="fr-FR"/>
        </w:rPr>
        <w:t>Chapitre 10 – Décomptes</w:t>
      </w:r>
      <w:bookmarkEnd w:id="9"/>
    </w:p>
    <w:p w14:paraId="261C015F" w14:textId="77777777" w:rsidR="001B4C95" w:rsidRPr="00C06A12" w:rsidRDefault="00000000">
      <w:pPr>
        <w:pStyle w:val="Titre2"/>
        <w:spacing w:before="280" w:after="140"/>
        <w:rPr>
          <w:lang w:val="fr-FR"/>
        </w:rPr>
      </w:pPr>
      <w:r w:rsidRPr="00C06A12">
        <w:rPr>
          <w:lang w:val="fr-FR"/>
        </w:rPr>
        <w:t>Ce que ce module résout</w:t>
      </w:r>
    </w:p>
    <w:p w14:paraId="1B6D62DE" w14:textId="77777777" w:rsidR="001B4C95" w:rsidRPr="00C06A12" w:rsidRDefault="00000000">
      <w:pPr>
        <w:spacing w:after="200" w:line="288" w:lineRule="auto"/>
        <w:jc w:val="both"/>
      </w:pPr>
      <w:r w:rsidRPr="00C06A12">
        <w:t>G-Banque centralise le suivi des décomptes de travaux facturés dans le cadre des marchés de Staport : saisie, suivi du règlement et consultation de l’encours par banque sont pris en charge directement par le système, avec une traçabilité complète de chaque opération.</w:t>
      </w:r>
    </w:p>
    <w:p w14:paraId="4E76B1D1" w14:textId="77777777" w:rsidR="001B4C95" w:rsidRPr="00C06A12" w:rsidRDefault="00000000">
      <w:pPr>
        <w:pStyle w:val="Titre2"/>
        <w:spacing w:before="280" w:after="140"/>
        <w:rPr>
          <w:lang w:val="fr-FR"/>
        </w:rPr>
      </w:pPr>
      <w:r w:rsidRPr="00C06A12">
        <w:rPr>
          <w:lang w:val="fr-FR"/>
        </w:rPr>
        <w:t>Ce que le système apporte</w:t>
      </w:r>
    </w:p>
    <w:p w14:paraId="3A909098"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Suivi automatique de l’encours par banque</w:t>
      </w:r>
      <w:r w:rsidRPr="00C06A12">
        <w:rPr>
          <w:lang w:val="fr-FR"/>
        </w:rPr>
        <w:t xml:space="preserve"> : les décomptes non réglés à échéance de fin de mois sont identifiés et totalisés automatiquement, sans recensement manuel.</w:t>
      </w:r>
    </w:p>
    <w:p w14:paraId="5707DFC0"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Traçabilité complète</w:t>
      </w:r>
      <w:r w:rsidRPr="00C06A12">
        <w:rPr>
          <w:lang w:val="fr-FR"/>
        </w:rPr>
        <w:t xml:space="preserve"> : chaque création, modification et suppression est historisée (auteur, date), consultable à tout moment.</w:t>
      </w:r>
    </w:p>
    <w:p w14:paraId="641F9BFE"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Export PDF</w:t>
      </w:r>
      <w:r w:rsidRPr="00C06A12">
        <w:rPr>
          <w:lang w:val="fr-FR"/>
        </w:rPr>
        <w:t xml:space="preserve"> : état complet des décomptes (avec filtres) exportable en un clic.</w:t>
      </w:r>
    </w:p>
    <w:p w14:paraId="2BB057E9" w14:textId="77777777" w:rsidR="001B4C95" w:rsidRPr="00C06A12" w:rsidRDefault="001B4C95">
      <w:pPr>
        <w:pageBreakBefore/>
      </w:pPr>
    </w:p>
    <w:p w14:paraId="27294A0E" w14:textId="77777777" w:rsidR="001B4C95" w:rsidRPr="00C06A12" w:rsidRDefault="00000000">
      <w:pPr>
        <w:pStyle w:val="Titre1"/>
        <w:pBdr>
          <w:bottom w:val="single" w:sz="8" w:space="8" w:color="B08D57"/>
        </w:pBdr>
        <w:spacing w:after="240"/>
        <w:rPr>
          <w:lang w:val="fr-FR"/>
        </w:rPr>
      </w:pPr>
      <w:bookmarkStart w:id="10" w:name="chap11"/>
      <w:r w:rsidRPr="00C06A12">
        <w:rPr>
          <w:lang w:val="fr-FR"/>
        </w:rPr>
        <w:t>Chapitre 11 – Préfinancements</w:t>
      </w:r>
      <w:bookmarkEnd w:id="10"/>
    </w:p>
    <w:p w14:paraId="760ACEB4" w14:textId="77777777" w:rsidR="001B4C95" w:rsidRPr="00C06A12" w:rsidRDefault="00000000">
      <w:pPr>
        <w:pStyle w:val="Titre2"/>
        <w:spacing w:before="280" w:after="140"/>
        <w:rPr>
          <w:lang w:val="fr-FR"/>
        </w:rPr>
      </w:pPr>
      <w:r w:rsidRPr="00C06A12">
        <w:rPr>
          <w:lang w:val="fr-FR"/>
        </w:rPr>
        <w:t>Ce que ce module résout</w:t>
      </w:r>
    </w:p>
    <w:p w14:paraId="17A8C482" w14:textId="77777777" w:rsidR="001B4C95" w:rsidRPr="00C06A12" w:rsidRDefault="00000000">
      <w:pPr>
        <w:spacing w:after="200" w:line="288" w:lineRule="auto"/>
        <w:jc w:val="both"/>
      </w:pPr>
      <w:r w:rsidRPr="00C06A12">
        <w:t>G-Banque centralise le suivi des préfinancements liés aux marchés de Staport : déblocages et remboursements de fonds sont saisis, rattachés automatiquement à la bonne ligne fonctionnelle du marché, et consultables en encours par banque, avec une traçabilité complète de chaque opération.</w:t>
      </w:r>
    </w:p>
    <w:p w14:paraId="40875F1B" w14:textId="77777777" w:rsidR="001B4C95" w:rsidRPr="00C06A12" w:rsidRDefault="00000000">
      <w:pPr>
        <w:pStyle w:val="Titre2"/>
        <w:spacing w:before="280" w:after="140"/>
        <w:rPr>
          <w:lang w:val="fr-FR"/>
        </w:rPr>
      </w:pPr>
      <w:r w:rsidRPr="00C06A12">
        <w:rPr>
          <w:lang w:val="fr-FR"/>
        </w:rPr>
        <w:t>Ce que le système apporte</w:t>
      </w:r>
    </w:p>
    <w:p w14:paraId="24586B46"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Rattachement automatique fiabilisé</w:t>
      </w:r>
      <w:r w:rsidRPr="00C06A12">
        <w:rPr>
          <w:lang w:val="fr-FR"/>
        </w:rPr>
        <w:t xml:space="preserve"> : le système identifie la ligne fonctionnelle Préfinancement active du marché (spécifique en priorité, sinon générale) et refuse toute saisie si aucune ligne valide n’existe – élimine le risque d’un préfinancement mal imputé.</w:t>
      </w:r>
    </w:p>
    <w:p w14:paraId="6F181573"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Suivi séparé déblocage/remboursement</w:t>
      </w:r>
      <w:r w:rsidRPr="00C06A12">
        <w:rPr>
          <w:lang w:val="fr-FR"/>
        </w:rPr>
        <w:t xml:space="preserve"> : déblocages et remboursements non réglés à échéance de fin de mois sont distingués et totalisés automatiquement, par banque.</w:t>
      </w:r>
    </w:p>
    <w:p w14:paraId="09FBBF63"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Vue agrégée par ligne fonctionnelle</w:t>
      </w:r>
      <w:r w:rsidRPr="00C06A12">
        <w:rPr>
          <w:lang w:val="fr-FR"/>
        </w:rPr>
        <w:t xml:space="preserve"> : total débit, total crédit et reste disponible, avec le détail des mouvements, directement depuis chaque ligne.</w:t>
      </w:r>
    </w:p>
    <w:p w14:paraId="19E9EDF1"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Traçabilité complète</w:t>
      </w:r>
      <w:r w:rsidRPr="00C06A12">
        <w:rPr>
          <w:lang w:val="fr-FR"/>
        </w:rPr>
        <w:t xml:space="preserve"> : chaque création, modification et suppression est historisée (auteur, date).</w:t>
      </w:r>
    </w:p>
    <w:p w14:paraId="3E59FA23"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Export PDF</w:t>
      </w:r>
      <w:r w:rsidRPr="00C06A12">
        <w:rPr>
          <w:lang w:val="fr-FR"/>
        </w:rPr>
        <w:t xml:space="preserve"> : liste et encours (déblocage, remboursement) exportables en un clic, filtres appliqués, pour le </w:t>
      </w:r>
      <w:proofErr w:type="spellStart"/>
      <w:r w:rsidRPr="00C06A12">
        <w:rPr>
          <w:lang w:val="fr-FR"/>
        </w:rPr>
        <w:t>reporting</w:t>
      </w:r>
      <w:proofErr w:type="spellEnd"/>
      <w:r w:rsidRPr="00C06A12">
        <w:rPr>
          <w:lang w:val="fr-FR"/>
        </w:rPr>
        <w:t xml:space="preserve"> ou le partage externe</w:t>
      </w:r>
      <w:proofErr w:type="gramStart"/>
      <w:r w:rsidRPr="00C06A12">
        <w:rPr>
          <w:lang w:val="fr-FR"/>
        </w:rPr>
        <w:t>. .</w:t>
      </w:r>
      <w:proofErr w:type="gramEnd"/>
    </w:p>
    <w:p w14:paraId="1CDDE46A" w14:textId="77777777" w:rsidR="001B4C95" w:rsidRPr="00C06A12" w:rsidRDefault="001B4C95">
      <w:pPr>
        <w:pageBreakBefore/>
      </w:pPr>
    </w:p>
    <w:p w14:paraId="079065DE" w14:textId="77777777" w:rsidR="001B4C95" w:rsidRPr="00C06A12" w:rsidRDefault="00000000">
      <w:pPr>
        <w:pStyle w:val="Titre1"/>
        <w:pBdr>
          <w:bottom w:val="single" w:sz="8" w:space="8" w:color="B08D57"/>
        </w:pBdr>
        <w:spacing w:after="240"/>
        <w:rPr>
          <w:lang w:val="fr-FR"/>
        </w:rPr>
      </w:pPr>
      <w:bookmarkStart w:id="11" w:name="chap12"/>
      <w:r w:rsidRPr="00C06A12">
        <w:rPr>
          <w:lang w:val="fr-FR"/>
        </w:rPr>
        <w:t>Chapitre 12 – Factoring</w:t>
      </w:r>
      <w:bookmarkEnd w:id="11"/>
    </w:p>
    <w:p w14:paraId="49A0A155" w14:textId="77777777" w:rsidR="001B4C95" w:rsidRPr="00C06A12" w:rsidRDefault="00000000">
      <w:pPr>
        <w:pStyle w:val="Titre2"/>
        <w:spacing w:before="280" w:after="140"/>
        <w:rPr>
          <w:lang w:val="fr-FR"/>
        </w:rPr>
      </w:pPr>
      <w:r w:rsidRPr="00C06A12">
        <w:rPr>
          <w:lang w:val="fr-FR"/>
        </w:rPr>
        <w:t>Ce que ce module résout</w:t>
      </w:r>
    </w:p>
    <w:p w14:paraId="325A0FBF" w14:textId="77777777" w:rsidR="001B4C95" w:rsidRPr="00C06A12" w:rsidRDefault="00000000">
      <w:pPr>
        <w:spacing w:after="200" w:line="288" w:lineRule="auto"/>
        <w:jc w:val="both"/>
      </w:pPr>
      <w:r w:rsidRPr="00C06A12">
        <w:t>G-Banque centralise le suivi des opérations de factoring liées aux marchés de Staport : déblocages et remboursements de fonds sont saisis, rattachés automatiquement à la bonne ligne fonctionnelle du marché, et consultables en encours par banque, avec une traçabilité complète de chaque opération.</w:t>
      </w:r>
    </w:p>
    <w:p w14:paraId="441AF25F" w14:textId="77777777" w:rsidR="001B4C95" w:rsidRPr="00C06A12" w:rsidRDefault="00000000">
      <w:pPr>
        <w:pStyle w:val="Titre2"/>
        <w:spacing w:before="280" w:after="140"/>
        <w:rPr>
          <w:lang w:val="fr-FR"/>
        </w:rPr>
      </w:pPr>
      <w:r w:rsidRPr="00C06A12">
        <w:rPr>
          <w:lang w:val="fr-FR"/>
        </w:rPr>
        <w:t>Ce que le système apporte</w:t>
      </w:r>
    </w:p>
    <w:p w14:paraId="58D0F423"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Rattachement automatique fiabilisé</w:t>
      </w:r>
      <w:r w:rsidRPr="00C06A12">
        <w:rPr>
          <w:lang w:val="fr-FR"/>
        </w:rPr>
        <w:t xml:space="preserve"> : le système identifie la ligne fonctionnelle Factoring active du marché (spécifique en priorité, sinon générale) et refuse toute saisie si aucune ligne valide n’existe – élimine le risque d’un factoring mal imputé.</w:t>
      </w:r>
    </w:p>
    <w:p w14:paraId="6332C372"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Suivi séparé déblocage/remboursement</w:t>
      </w:r>
      <w:r w:rsidRPr="00C06A12">
        <w:rPr>
          <w:lang w:val="fr-FR"/>
        </w:rPr>
        <w:t xml:space="preserve"> : déblocages et remboursements non réglés à échéance de fin de mois sont distingués et totalisés automatiquement, par banque.</w:t>
      </w:r>
    </w:p>
    <w:p w14:paraId="2D80D95C"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Vue agrégée par ligne fonctionnelle</w:t>
      </w:r>
      <w:r w:rsidRPr="00C06A12">
        <w:rPr>
          <w:lang w:val="fr-FR"/>
        </w:rPr>
        <w:t xml:space="preserve"> : total débit, total crédit et reste disponible, avec le détail des mouvements, directement depuis chaque ligne.</w:t>
      </w:r>
    </w:p>
    <w:p w14:paraId="431F7C4F"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Traçabilité complète</w:t>
      </w:r>
      <w:r w:rsidRPr="00C06A12">
        <w:rPr>
          <w:lang w:val="fr-FR"/>
        </w:rPr>
        <w:t xml:space="preserve"> : chaque création, modification et suppression est historisée (auteur, date).</w:t>
      </w:r>
    </w:p>
    <w:p w14:paraId="29F0AD08"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Export PDF</w:t>
      </w:r>
      <w:r w:rsidRPr="00C06A12">
        <w:rPr>
          <w:lang w:val="fr-FR"/>
        </w:rPr>
        <w:t xml:space="preserve"> : liste et encours (déblocage, remboursement) exportables en un clic, filtres appliqués, pour le </w:t>
      </w:r>
      <w:proofErr w:type="spellStart"/>
      <w:r w:rsidRPr="00C06A12">
        <w:rPr>
          <w:lang w:val="fr-FR"/>
        </w:rPr>
        <w:t>reporting</w:t>
      </w:r>
      <w:proofErr w:type="spellEnd"/>
      <w:r w:rsidRPr="00C06A12">
        <w:rPr>
          <w:lang w:val="fr-FR"/>
        </w:rPr>
        <w:t xml:space="preserve"> ou le partage externe.</w:t>
      </w:r>
    </w:p>
    <w:p w14:paraId="112AC694" w14:textId="77777777" w:rsidR="001B4C95" w:rsidRPr="00C06A12" w:rsidRDefault="001B4C95">
      <w:pPr>
        <w:pageBreakBefore/>
      </w:pPr>
    </w:p>
    <w:p w14:paraId="3110D7DC" w14:textId="77777777" w:rsidR="001B4C95" w:rsidRPr="00C06A12" w:rsidRDefault="00000000">
      <w:pPr>
        <w:pStyle w:val="Titre1"/>
        <w:pBdr>
          <w:bottom w:val="single" w:sz="8" w:space="8" w:color="B08D57"/>
        </w:pBdr>
        <w:spacing w:after="240"/>
        <w:rPr>
          <w:lang w:val="fr-FR"/>
        </w:rPr>
      </w:pPr>
      <w:bookmarkStart w:id="12" w:name="chap13"/>
      <w:r w:rsidRPr="00C06A12">
        <w:rPr>
          <w:lang w:val="fr-FR"/>
        </w:rPr>
        <w:t>Chapitre 13 – Droits Constatés</w:t>
      </w:r>
      <w:bookmarkEnd w:id="12"/>
    </w:p>
    <w:p w14:paraId="6E35E052" w14:textId="77777777" w:rsidR="001B4C95" w:rsidRPr="00C06A12" w:rsidRDefault="00000000">
      <w:pPr>
        <w:pStyle w:val="Titre2"/>
        <w:spacing w:before="280" w:after="140"/>
        <w:rPr>
          <w:lang w:val="fr-FR"/>
        </w:rPr>
      </w:pPr>
      <w:r w:rsidRPr="00C06A12">
        <w:rPr>
          <w:lang w:val="fr-FR"/>
        </w:rPr>
        <w:t>Ce que ce module résout</w:t>
      </w:r>
    </w:p>
    <w:p w14:paraId="23EB9BFB" w14:textId="77777777" w:rsidR="001B4C95" w:rsidRPr="00C06A12" w:rsidRDefault="00000000">
      <w:pPr>
        <w:spacing w:after="200" w:line="288" w:lineRule="auto"/>
        <w:jc w:val="both"/>
      </w:pPr>
      <w:r w:rsidRPr="00C06A12">
        <w:t>G-Banque centralise le suivi des droits constatés liés aux marchés de Staport : déblocages et remboursements de fonds sont saisis, rattachés automatiquement à la bonne ligne fonctionnelle du marché, et consultables en encours par banque, avec une traçabilité complète de chaque opération.</w:t>
      </w:r>
    </w:p>
    <w:p w14:paraId="20CBBF22" w14:textId="77777777" w:rsidR="001B4C95" w:rsidRPr="00C06A12" w:rsidRDefault="00000000">
      <w:pPr>
        <w:pStyle w:val="Titre2"/>
        <w:spacing w:before="280" w:after="140"/>
        <w:rPr>
          <w:lang w:val="fr-FR"/>
        </w:rPr>
      </w:pPr>
      <w:r w:rsidRPr="00C06A12">
        <w:rPr>
          <w:lang w:val="fr-FR"/>
        </w:rPr>
        <w:t>Ce que le système apporte</w:t>
      </w:r>
    </w:p>
    <w:p w14:paraId="437031C0"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Rattachement automatique fiabilisé</w:t>
      </w:r>
      <w:r w:rsidRPr="00C06A12">
        <w:rPr>
          <w:lang w:val="fr-FR"/>
        </w:rPr>
        <w:t xml:space="preserve"> : le système identifie la ligne fonctionnelle Droit Constaté active du marché (spécifique en priorité, sinon générale) et refuse toute saisie si aucune ligne valide n’existe – élimine le risque d’un droit constaté mal imputé.</w:t>
      </w:r>
    </w:p>
    <w:p w14:paraId="423167A5"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Pré-remplissage intelligent de la banque</w:t>
      </w:r>
      <w:r w:rsidRPr="00C06A12">
        <w:rPr>
          <w:lang w:val="fr-FR"/>
        </w:rPr>
        <w:t xml:space="preserve"> : dès la sélection du marché, la banque du mouvement est proposée automatiquement, tout en restant modifiable si les fonds transitent par un autre compte.</w:t>
      </w:r>
    </w:p>
    <w:p w14:paraId="7C61F70F"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Suivi séparé déblocage/remboursement</w:t>
      </w:r>
      <w:r w:rsidRPr="00C06A12">
        <w:rPr>
          <w:lang w:val="fr-FR"/>
        </w:rPr>
        <w:t xml:space="preserve"> : déblocages et remboursements non réglés à échéance de fin de mois sont distingués et totalisés automatiquement, par banque.</w:t>
      </w:r>
    </w:p>
    <w:p w14:paraId="554FFDA6"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Vue agrégée par ligne fonctionnelle</w:t>
      </w:r>
      <w:r w:rsidRPr="00C06A12">
        <w:rPr>
          <w:lang w:val="fr-FR"/>
        </w:rPr>
        <w:t xml:space="preserve"> : total débit, total crédit et reste disponible, avec le détail des mouvements, directement depuis chaque ligne.</w:t>
      </w:r>
    </w:p>
    <w:p w14:paraId="78C2A53D"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Traçabilité complète</w:t>
      </w:r>
      <w:r w:rsidRPr="00C06A12">
        <w:rPr>
          <w:lang w:val="fr-FR"/>
        </w:rPr>
        <w:t xml:space="preserve"> : chaque création, modification et suppression est historisée (auteur, date).</w:t>
      </w:r>
    </w:p>
    <w:p w14:paraId="5E4A107E"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Export PDF</w:t>
      </w:r>
      <w:r w:rsidRPr="00C06A12">
        <w:rPr>
          <w:lang w:val="fr-FR"/>
        </w:rPr>
        <w:t xml:space="preserve"> : liste et encours (déblocage, remboursement) exportables en un clic, filtres appliqués, pour le </w:t>
      </w:r>
      <w:proofErr w:type="spellStart"/>
      <w:r w:rsidRPr="00C06A12">
        <w:rPr>
          <w:lang w:val="fr-FR"/>
        </w:rPr>
        <w:t>reporting</w:t>
      </w:r>
      <w:proofErr w:type="spellEnd"/>
      <w:r w:rsidRPr="00C06A12">
        <w:rPr>
          <w:lang w:val="fr-FR"/>
        </w:rPr>
        <w:t xml:space="preserve"> ou le partage externe.</w:t>
      </w:r>
    </w:p>
    <w:p w14:paraId="5A678B03" w14:textId="77777777" w:rsidR="001B4C95" w:rsidRPr="00C06A12" w:rsidRDefault="00000000">
      <w:pPr>
        <w:spacing w:after="200" w:line="288" w:lineRule="auto"/>
        <w:jc w:val="both"/>
      </w:pPr>
      <w:r w:rsidRPr="00C06A12">
        <w:t>Au-delà du suivi des marchés, G-Banque couvre également l’ensemble des moyens de paiement quotidiens de Staport – chèques, LCN, virements nationaux et internationaux, mises à disposition et prélèvements – avec la même exigence de traçabilité et de fiabilité.</w:t>
      </w:r>
    </w:p>
    <w:p w14:paraId="514CD8BE" w14:textId="77777777" w:rsidR="001B4C95" w:rsidRPr="00C06A12" w:rsidRDefault="001B4C95">
      <w:pPr>
        <w:pageBreakBefore/>
      </w:pPr>
    </w:p>
    <w:p w14:paraId="0C23C506" w14:textId="77777777" w:rsidR="001B4C95" w:rsidRPr="00C06A12" w:rsidRDefault="00000000">
      <w:pPr>
        <w:pStyle w:val="Titre1"/>
        <w:pBdr>
          <w:bottom w:val="single" w:sz="8" w:space="8" w:color="B08D57"/>
        </w:pBdr>
        <w:spacing w:after="240"/>
        <w:rPr>
          <w:lang w:val="fr-FR"/>
        </w:rPr>
      </w:pPr>
      <w:bookmarkStart w:id="13" w:name="chap14"/>
      <w:r w:rsidRPr="00C06A12">
        <w:rPr>
          <w:lang w:val="fr-FR"/>
        </w:rPr>
        <w:t>Chapitre 14 – Chèques</w:t>
      </w:r>
      <w:bookmarkEnd w:id="13"/>
    </w:p>
    <w:p w14:paraId="534A1C0B" w14:textId="77777777" w:rsidR="001B4C95" w:rsidRPr="00C06A12" w:rsidRDefault="00000000">
      <w:pPr>
        <w:pStyle w:val="Titre2"/>
        <w:spacing w:before="280" w:after="140"/>
        <w:rPr>
          <w:lang w:val="fr-FR"/>
        </w:rPr>
      </w:pPr>
      <w:r w:rsidRPr="00C06A12">
        <w:rPr>
          <w:lang w:val="fr-FR"/>
        </w:rPr>
        <w:t>Ce que ce module résout</w:t>
      </w:r>
    </w:p>
    <w:p w14:paraId="5D22B9EC" w14:textId="77777777" w:rsidR="001B4C95" w:rsidRPr="00C06A12" w:rsidRDefault="00000000">
      <w:pPr>
        <w:spacing w:after="200" w:line="288" w:lineRule="auto"/>
        <w:jc w:val="both"/>
      </w:pPr>
      <w:r w:rsidRPr="00C06A12">
        <w:t>G-Banque centralise le suivi des chèques de Staport, qu’ils soient reçus (encaissements) ou émis (décaissements), avec un état à jour en permanence et une traçabilité complète de chaque opération.</w:t>
      </w:r>
    </w:p>
    <w:p w14:paraId="18436A1A" w14:textId="77777777" w:rsidR="001B4C95" w:rsidRPr="00C06A12" w:rsidRDefault="00000000">
      <w:pPr>
        <w:pStyle w:val="Titre2"/>
        <w:spacing w:before="280" w:after="140"/>
        <w:rPr>
          <w:lang w:val="fr-FR"/>
        </w:rPr>
      </w:pPr>
      <w:r w:rsidRPr="00C06A12">
        <w:rPr>
          <w:lang w:val="fr-FR"/>
        </w:rPr>
        <w:t>Ce que le système apporte</w:t>
      </w:r>
    </w:p>
    <w:p w14:paraId="6D4A3957"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Suivi centralisé des deux sens</w:t>
      </w:r>
      <w:r w:rsidRPr="00C06A12">
        <w:rPr>
          <w:lang w:val="fr-FR"/>
        </w:rPr>
        <w:t xml:space="preserve"> : chèques reçus et émis par Staport suivis dans les mêmes écrans, avec un état (en cours, réglé, annulé) toujours à jour.</w:t>
      </w:r>
    </w:p>
    <w:p w14:paraId="5386ACE6" w14:textId="1309DF39" w:rsidR="001B4C95" w:rsidRPr="00C06A12" w:rsidRDefault="00000000">
      <w:pPr>
        <w:pStyle w:val="Paragraphedeliste"/>
        <w:numPr>
          <w:ilvl w:val="0"/>
          <w:numId w:val="2"/>
        </w:numPr>
        <w:spacing w:after="120" w:line="276" w:lineRule="auto"/>
        <w:jc w:val="both"/>
        <w:rPr>
          <w:lang w:val="fr-FR"/>
        </w:rPr>
      </w:pPr>
      <w:r w:rsidRPr="00C06A12">
        <w:rPr>
          <w:b/>
          <w:bCs/>
          <w:lang w:val="fr-FR"/>
        </w:rPr>
        <w:t>Alimentation automatique des décaissements</w:t>
      </w:r>
      <w:r w:rsidRPr="00C06A12">
        <w:rPr>
          <w:lang w:val="fr-FR"/>
        </w:rPr>
        <w:t xml:space="preserve"> : les chèques émis sont récupérés automatiquement depuis le système de paiement externe (</w:t>
      </w:r>
      <w:r w:rsidR="00C06A12" w:rsidRPr="00C06A12">
        <w:rPr>
          <w:lang w:val="fr-FR"/>
        </w:rPr>
        <w:t>Fun Paiement</w:t>
      </w:r>
      <w:r w:rsidRPr="00C06A12">
        <w:rPr>
          <w:lang w:val="fr-FR"/>
        </w:rPr>
        <w:t xml:space="preserve">) – aucune ressaisie, </w:t>
      </w:r>
      <w:r w:rsidR="00C06A12" w:rsidRPr="00C06A12">
        <w:rPr>
          <w:lang w:val="fr-FR"/>
        </w:rPr>
        <w:t>aucun double saisi</w:t>
      </w:r>
      <w:r w:rsidRPr="00C06A12">
        <w:rPr>
          <w:lang w:val="fr-FR"/>
        </w:rPr>
        <w:t>.</w:t>
      </w:r>
    </w:p>
    <w:p w14:paraId="70A3DBC7"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Vue des encours par banque</w:t>
      </w:r>
      <w:r w:rsidRPr="00C06A12">
        <w:rPr>
          <w:lang w:val="fr-FR"/>
        </w:rPr>
        <w:t xml:space="preserve"> : montant total des chèques non encore réglés consultable instantanément, par banque et par sens.</w:t>
      </w:r>
    </w:p>
    <w:p w14:paraId="59335488"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Rapprochement bancaire intégré</w:t>
      </w:r>
      <w:r w:rsidRPr="00C06A12">
        <w:rPr>
          <w:lang w:val="fr-FR"/>
        </w:rPr>
        <w:t xml:space="preserve"> : la validation d’un chèque le rattache directement au rapprochement du mois, sans ressaisie.</w:t>
      </w:r>
    </w:p>
    <w:p w14:paraId="213ECD56"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Protection contre les erreurs</w:t>
      </w:r>
      <w:r w:rsidRPr="00C06A12">
        <w:rPr>
          <w:lang w:val="fr-FR"/>
        </w:rPr>
        <w:t xml:space="preserve"> : un chèque déjà réglé ne peut plus être modifié, supprimé ou altéré ; toute création, modification ou suppression est auditée (auteur, horodatage).</w:t>
      </w:r>
    </w:p>
    <w:p w14:paraId="01580D40"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Export PDF</w:t>
      </w:r>
      <w:r w:rsidRPr="00C06A12">
        <w:rPr>
          <w:lang w:val="fr-FR"/>
        </w:rPr>
        <w:t xml:space="preserve"> : chaque liste (encaissements, décaissements) et chaque écran d’encours peut être exporté en PDF en un clic, filtres appliqués, prêt à partager ou archiver.</w:t>
      </w:r>
    </w:p>
    <w:p w14:paraId="2A00FBC9" w14:textId="77777777" w:rsidR="001B4C95" w:rsidRPr="00C06A12" w:rsidRDefault="001B4C95">
      <w:pPr>
        <w:pageBreakBefore/>
      </w:pPr>
    </w:p>
    <w:p w14:paraId="02C815F5" w14:textId="77777777" w:rsidR="001B4C95" w:rsidRPr="00C06A12" w:rsidRDefault="00000000">
      <w:pPr>
        <w:pStyle w:val="Titre1"/>
        <w:pBdr>
          <w:bottom w:val="single" w:sz="8" w:space="8" w:color="B08D57"/>
        </w:pBdr>
        <w:spacing w:after="240"/>
        <w:rPr>
          <w:lang w:val="fr-FR"/>
        </w:rPr>
      </w:pPr>
      <w:bookmarkStart w:id="14" w:name="chap15"/>
      <w:r w:rsidRPr="00C06A12">
        <w:rPr>
          <w:lang w:val="fr-FR"/>
        </w:rPr>
        <w:t>Chapitre 15 – LCN</w:t>
      </w:r>
      <w:bookmarkEnd w:id="14"/>
    </w:p>
    <w:p w14:paraId="50FEFF01" w14:textId="77777777" w:rsidR="001B4C95" w:rsidRPr="00C06A12" w:rsidRDefault="00000000">
      <w:pPr>
        <w:pStyle w:val="Titre2"/>
        <w:spacing w:before="280" w:after="140"/>
        <w:rPr>
          <w:lang w:val="fr-FR"/>
        </w:rPr>
      </w:pPr>
      <w:r w:rsidRPr="00C06A12">
        <w:rPr>
          <w:lang w:val="fr-FR"/>
        </w:rPr>
        <w:t>Ce que ce module résout</w:t>
      </w:r>
    </w:p>
    <w:p w14:paraId="6189A4E4" w14:textId="77777777" w:rsidR="001B4C95" w:rsidRPr="00C06A12" w:rsidRDefault="00000000">
      <w:pPr>
        <w:spacing w:after="200" w:line="288" w:lineRule="auto"/>
        <w:jc w:val="both"/>
      </w:pPr>
      <w:r w:rsidRPr="00C06A12">
        <w:t>G-Banque centralise le suivi des LCN (lettres de change normalisées) de Staport, qu’ils soient reçus (encaissements, y compris escomptés) ou émis (décaissements), avec un état à jour en permanence et une traçabilité complète de chaque opération.</w:t>
      </w:r>
    </w:p>
    <w:p w14:paraId="7887979D" w14:textId="77777777" w:rsidR="001B4C95" w:rsidRPr="00C06A12" w:rsidRDefault="00000000">
      <w:pPr>
        <w:pStyle w:val="Titre2"/>
        <w:spacing w:before="280" w:after="140"/>
        <w:rPr>
          <w:lang w:val="fr-FR"/>
        </w:rPr>
      </w:pPr>
      <w:r w:rsidRPr="00C06A12">
        <w:rPr>
          <w:lang w:val="fr-FR"/>
        </w:rPr>
        <w:t>Ce que le système apporte</w:t>
      </w:r>
    </w:p>
    <w:p w14:paraId="04D06B9C"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Suivi centralisé des deux sens</w:t>
      </w:r>
      <w:r w:rsidRPr="00C06A12">
        <w:rPr>
          <w:lang w:val="fr-FR"/>
        </w:rPr>
        <w:t xml:space="preserve"> : LCN reçus (standards ou escomptés) et émis par Staport suivis dans les mêmes écrans, avec un état (en cours, réglé, annulé) toujours à jour.</w:t>
      </w:r>
    </w:p>
    <w:p w14:paraId="4ABCDFAA"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Alimentation automatique des décaissements</w:t>
      </w:r>
      <w:r w:rsidRPr="00C06A12">
        <w:rPr>
          <w:lang w:val="fr-FR"/>
        </w:rPr>
        <w:t xml:space="preserve"> : les LCN émis sont récupérés automatiquement depuis le système de paiement externe – aucune ressaisie.</w:t>
      </w:r>
    </w:p>
    <w:p w14:paraId="4ADD6C1A"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Suivi de l’escompte commercial par ligne</w:t>
      </w:r>
      <w:r w:rsidRPr="00C06A12">
        <w:rPr>
          <w:lang w:val="fr-FR"/>
        </w:rPr>
        <w:t xml:space="preserve"> : chaque ligne fonctionnelle d’escompte dispose d’un suivi dédié des LCN qui lui sont rattachés, avec le montant total cumulé – visibilité immédiate sur l’utilisation de chaque ligne.</w:t>
      </w:r>
    </w:p>
    <w:p w14:paraId="2B88F824"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Vue des encours par banque</w:t>
      </w:r>
      <w:r w:rsidRPr="00C06A12">
        <w:rPr>
          <w:lang w:val="fr-FR"/>
        </w:rPr>
        <w:t xml:space="preserve"> : montant total des LCN non encore réglés consultable instantanément, par banque et par sens.</w:t>
      </w:r>
    </w:p>
    <w:p w14:paraId="40A436A0"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Rapprochement bancaire intégré</w:t>
      </w:r>
      <w:r w:rsidRPr="00C06A12">
        <w:rPr>
          <w:lang w:val="fr-FR"/>
        </w:rPr>
        <w:t xml:space="preserve"> : la validation d’un LCN le rattache directement au rapprochement du mois, sans ressaisie.</w:t>
      </w:r>
    </w:p>
    <w:p w14:paraId="76D05EC8"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Protection contre les erreurs</w:t>
      </w:r>
      <w:r w:rsidRPr="00C06A12">
        <w:rPr>
          <w:lang w:val="fr-FR"/>
        </w:rPr>
        <w:t xml:space="preserve"> : un LCN déjà réglé ne peut plus être modifié, supprimé ou altéré ; un escompte ne peut être créé que dans les conditions prévues (LCN d’encaissement uniquement).</w:t>
      </w:r>
    </w:p>
    <w:p w14:paraId="32D10383"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Export PDF</w:t>
      </w:r>
      <w:r w:rsidRPr="00C06A12">
        <w:rPr>
          <w:lang w:val="fr-FR"/>
        </w:rPr>
        <w:t xml:space="preserve"> : chaque liste (encaissements, décaissements) et chaque écran d’encours peut être exporté en PDF en un clic, filtres appliqués, prêt à partager ou archiver.</w:t>
      </w:r>
    </w:p>
    <w:p w14:paraId="17807EF3" w14:textId="77777777" w:rsidR="001B4C95" w:rsidRPr="00C06A12" w:rsidRDefault="001B4C95">
      <w:pPr>
        <w:pageBreakBefore/>
      </w:pPr>
    </w:p>
    <w:p w14:paraId="3792F942" w14:textId="77777777" w:rsidR="001B4C95" w:rsidRPr="00C06A12" w:rsidRDefault="00000000">
      <w:pPr>
        <w:pStyle w:val="Titre1"/>
        <w:pBdr>
          <w:bottom w:val="single" w:sz="8" w:space="8" w:color="B08D57"/>
        </w:pBdr>
        <w:spacing w:after="240"/>
        <w:rPr>
          <w:lang w:val="fr-FR"/>
        </w:rPr>
      </w:pPr>
      <w:bookmarkStart w:id="15" w:name="chap16"/>
      <w:r w:rsidRPr="00C06A12">
        <w:rPr>
          <w:lang w:val="fr-FR"/>
        </w:rPr>
        <w:t>Chapitre 16 – Virements</w:t>
      </w:r>
      <w:bookmarkEnd w:id="15"/>
    </w:p>
    <w:p w14:paraId="1C712FAC" w14:textId="77777777" w:rsidR="001B4C95" w:rsidRPr="00C06A12" w:rsidRDefault="00000000">
      <w:pPr>
        <w:pStyle w:val="Titre2"/>
        <w:spacing w:before="280" w:after="140"/>
        <w:rPr>
          <w:lang w:val="fr-FR"/>
        </w:rPr>
      </w:pPr>
      <w:r w:rsidRPr="00C06A12">
        <w:rPr>
          <w:lang w:val="fr-FR"/>
        </w:rPr>
        <w:t>Ce que ce module résout</w:t>
      </w:r>
    </w:p>
    <w:p w14:paraId="3D3E9308" w14:textId="77777777" w:rsidR="001B4C95" w:rsidRPr="00C06A12" w:rsidRDefault="00000000">
      <w:pPr>
        <w:spacing w:after="200" w:line="288" w:lineRule="auto"/>
        <w:jc w:val="both"/>
      </w:pPr>
      <w:r w:rsidRPr="00C06A12">
        <w:t>G-Banque centralise le suivi des virements nationaux de Staport, qu’ils soient reçus (encaissements) ou émis (décaissements), avec un état à jour en permanence et une traçabilité complète de chaque opération.</w:t>
      </w:r>
    </w:p>
    <w:p w14:paraId="249B6091" w14:textId="77777777" w:rsidR="001B4C95" w:rsidRPr="00C06A12" w:rsidRDefault="00000000">
      <w:pPr>
        <w:pStyle w:val="Titre2"/>
        <w:spacing w:before="280" w:after="140"/>
        <w:rPr>
          <w:lang w:val="fr-FR"/>
        </w:rPr>
      </w:pPr>
      <w:r w:rsidRPr="00C06A12">
        <w:rPr>
          <w:lang w:val="fr-FR"/>
        </w:rPr>
        <w:t>Ce que le système apporte</w:t>
      </w:r>
    </w:p>
    <w:p w14:paraId="77D4592A"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Suivi centralisé des deux sens</w:t>
      </w:r>
      <w:r w:rsidRPr="00C06A12">
        <w:rPr>
          <w:lang w:val="fr-FR"/>
        </w:rPr>
        <w:t xml:space="preserve"> : virements reçus et émis par Staport suivis dans les mêmes écrans, avec un état (en cours, réglé, annulé) toujours à jour.</w:t>
      </w:r>
    </w:p>
    <w:p w14:paraId="286D8CD5"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Alimentation automatique des décaissements</w:t>
      </w:r>
      <w:r w:rsidRPr="00C06A12">
        <w:rPr>
          <w:lang w:val="fr-FR"/>
        </w:rPr>
        <w:t xml:space="preserve"> : les virements émis sont récupérés automatiquement depuis le système de paiement externe – aucune ressaisie.</w:t>
      </w:r>
    </w:p>
    <w:p w14:paraId="0DC08280"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Vue des encours par banque</w:t>
      </w:r>
      <w:r w:rsidRPr="00C06A12">
        <w:rPr>
          <w:lang w:val="fr-FR"/>
        </w:rPr>
        <w:t xml:space="preserve"> : montant total des virements non encore réglés consultable instantanément, par banque et par sens.</w:t>
      </w:r>
    </w:p>
    <w:p w14:paraId="2D5B280A"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Rapprochement bancaire intégré</w:t>
      </w:r>
      <w:r w:rsidRPr="00C06A12">
        <w:rPr>
          <w:lang w:val="fr-FR"/>
        </w:rPr>
        <w:t xml:space="preserve"> : la validation d’un virement le rattache directement au rapprochement du mois, sans ressaisie.</w:t>
      </w:r>
    </w:p>
    <w:p w14:paraId="1D1BE2AC"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Protection contre les erreurs</w:t>
      </w:r>
      <w:r w:rsidRPr="00C06A12">
        <w:rPr>
          <w:lang w:val="fr-FR"/>
        </w:rPr>
        <w:t xml:space="preserve"> : un virement déjà réglé ne peut plus être modifié, supprimé ou altéré ; toute création, modification ou suppression est auditée.</w:t>
      </w:r>
    </w:p>
    <w:p w14:paraId="51D3AE8F"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Export PDF</w:t>
      </w:r>
      <w:r w:rsidRPr="00C06A12">
        <w:rPr>
          <w:lang w:val="fr-FR"/>
        </w:rPr>
        <w:t xml:space="preserve"> : chaque liste (encaissements, décaissements) et chaque écran d’encours peut être exporté en PDF en un clic, filtres appliqués, prêt à partager ou archiver.</w:t>
      </w:r>
    </w:p>
    <w:p w14:paraId="40DC8821" w14:textId="77777777" w:rsidR="001B4C95" w:rsidRPr="00C06A12" w:rsidRDefault="001B4C95">
      <w:pPr>
        <w:pageBreakBefore/>
      </w:pPr>
    </w:p>
    <w:p w14:paraId="675F2E35" w14:textId="77777777" w:rsidR="001B4C95" w:rsidRPr="00C06A12" w:rsidRDefault="00000000">
      <w:pPr>
        <w:pStyle w:val="Titre1"/>
        <w:pBdr>
          <w:bottom w:val="single" w:sz="8" w:space="8" w:color="B08D57"/>
        </w:pBdr>
        <w:spacing w:after="240"/>
        <w:rPr>
          <w:lang w:val="fr-FR"/>
        </w:rPr>
      </w:pPr>
      <w:bookmarkStart w:id="16" w:name="chap17"/>
      <w:r w:rsidRPr="00C06A12">
        <w:rPr>
          <w:lang w:val="fr-FR"/>
        </w:rPr>
        <w:t>Chapitre 17 – Virements Internationaux</w:t>
      </w:r>
      <w:bookmarkEnd w:id="16"/>
    </w:p>
    <w:p w14:paraId="497C8763" w14:textId="77777777" w:rsidR="001B4C95" w:rsidRPr="00C06A12" w:rsidRDefault="00000000">
      <w:pPr>
        <w:pStyle w:val="Titre2"/>
        <w:spacing w:before="280" w:after="140"/>
        <w:rPr>
          <w:lang w:val="fr-FR"/>
        </w:rPr>
      </w:pPr>
      <w:r w:rsidRPr="00C06A12">
        <w:rPr>
          <w:lang w:val="fr-FR"/>
        </w:rPr>
        <w:t>Ce que ce module résout</w:t>
      </w:r>
    </w:p>
    <w:p w14:paraId="4962BC87" w14:textId="77777777" w:rsidR="001B4C95" w:rsidRPr="00C06A12" w:rsidRDefault="00000000">
      <w:pPr>
        <w:spacing w:after="200" w:line="288" w:lineRule="auto"/>
        <w:jc w:val="both"/>
      </w:pPr>
      <w:r w:rsidRPr="00C06A12">
        <w:t>G-Banque centralise le suivi des virements internationaux de Staport, reçus comme émis, avec un état à jour en permanence et une traçabilité complète de chaque opération.</w:t>
      </w:r>
    </w:p>
    <w:p w14:paraId="6BE75F88" w14:textId="77777777" w:rsidR="001B4C95" w:rsidRPr="00C06A12" w:rsidRDefault="00000000">
      <w:pPr>
        <w:pStyle w:val="Titre2"/>
        <w:spacing w:before="280" w:after="140"/>
        <w:rPr>
          <w:lang w:val="fr-FR"/>
        </w:rPr>
      </w:pPr>
      <w:r w:rsidRPr="00C06A12">
        <w:rPr>
          <w:lang w:val="fr-FR"/>
        </w:rPr>
        <w:t>Ce que le système apporte</w:t>
      </w:r>
    </w:p>
    <w:p w14:paraId="2648D21A" w14:textId="47423831" w:rsidR="001B4C95" w:rsidRPr="00C06A12" w:rsidRDefault="00000000">
      <w:pPr>
        <w:pStyle w:val="Paragraphedeliste"/>
        <w:numPr>
          <w:ilvl w:val="0"/>
          <w:numId w:val="2"/>
        </w:numPr>
        <w:spacing w:after="120" w:line="276" w:lineRule="auto"/>
        <w:jc w:val="both"/>
        <w:rPr>
          <w:lang w:val="fr-FR"/>
        </w:rPr>
      </w:pPr>
      <w:r w:rsidRPr="00C06A12">
        <w:rPr>
          <w:b/>
          <w:bCs/>
          <w:lang w:val="fr-FR"/>
        </w:rPr>
        <w:t>Suivi centralisé des deux sens</w:t>
      </w:r>
      <w:r w:rsidRPr="00C06A12">
        <w:rPr>
          <w:lang w:val="fr-FR"/>
        </w:rPr>
        <w:t xml:space="preserve"> : virements internationaux reçus et émis par Staport suivis dans le même écran, avec un état (en cours, réglé, annulé) toujours à jour – les deux sens sont saisis manuellement (aucune synchronisation </w:t>
      </w:r>
      <w:r w:rsidR="00C06A12" w:rsidRPr="00C06A12">
        <w:rPr>
          <w:lang w:val="fr-FR"/>
        </w:rPr>
        <w:t>Fun Paiement</w:t>
      </w:r>
      <w:r w:rsidRPr="00C06A12">
        <w:rPr>
          <w:lang w:val="fr-FR"/>
        </w:rPr>
        <w:t xml:space="preserve"> pour ce module).</w:t>
      </w:r>
    </w:p>
    <w:p w14:paraId="52B10649"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Vue des encours par banque</w:t>
      </w:r>
      <w:r w:rsidRPr="00C06A12">
        <w:rPr>
          <w:lang w:val="fr-FR"/>
        </w:rPr>
        <w:t xml:space="preserve"> : montant total non encore réglé consultable instantanément, par banque et par sens.</w:t>
      </w:r>
    </w:p>
    <w:p w14:paraId="6C4B0C5D"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Rapprochement bancaire intégré</w:t>
      </w:r>
      <w:r w:rsidRPr="00C06A12">
        <w:rPr>
          <w:lang w:val="fr-FR"/>
        </w:rPr>
        <w:t xml:space="preserve"> : la validation rattache directement l’opération au rapprochement du mois, sans ressaisie.</w:t>
      </w:r>
    </w:p>
    <w:p w14:paraId="16263091"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Protection contre les erreurs</w:t>
      </w:r>
      <w:r w:rsidRPr="00C06A12">
        <w:rPr>
          <w:lang w:val="fr-FR"/>
        </w:rPr>
        <w:t xml:space="preserve"> : un virement international déjà réglé ne peut plus être modifié, supprimé ou altéré ; toute création, modification ou suppression est auditée.</w:t>
      </w:r>
    </w:p>
    <w:p w14:paraId="5221E9FD"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Export PDF</w:t>
      </w:r>
      <w:r w:rsidRPr="00C06A12">
        <w:rPr>
          <w:lang w:val="fr-FR"/>
        </w:rPr>
        <w:t xml:space="preserve"> : la liste (encaissements et décaissements confondus) et chaque écran d’encours peuvent être exportés en PDF en un clic, filtres appliqués, prêt à partager ou archiver.</w:t>
      </w:r>
    </w:p>
    <w:p w14:paraId="7A1A7B67" w14:textId="77777777" w:rsidR="001B4C95" w:rsidRPr="00C06A12" w:rsidRDefault="001B4C95">
      <w:pPr>
        <w:pageBreakBefore/>
      </w:pPr>
    </w:p>
    <w:p w14:paraId="64FD1F38" w14:textId="77777777" w:rsidR="001B4C95" w:rsidRPr="00C06A12" w:rsidRDefault="00000000">
      <w:pPr>
        <w:pStyle w:val="Titre1"/>
        <w:pBdr>
          <w:bottom w:val="single" w:sz="8" w:space="8" w:color="B08D57"/>
        </w:pBdr>
        <w:spacing w:after="240"/>
        <w:rPr>
          <w:lang w:val="fr-FR"/>
        </w:rPr>
      </w:pPr>
      <w:bookmarkStart w:id="17" w:name="chap18"/>
      <w:r w:rsidRPr="00C06A12">
        <w:rPr>
          <w:lang w:val="fr-FR"/>
        </w:rPr>
        <w:t>Chapitre 18 – Mises à Disposition</w:t>
      </w:r>
      <w:bookmarkEnd w:id="17"/>
    </w:p>
    <w:p w14:paraId="5DA38A79" w14:textId="77777777" w:rsidR="001B4C95" w:rsidRPr="00C06A12" w:rsidRDefault="00000000">
      <w:pPr>
        <w:pStyle w:val="Titre2"/>
        <w:spacing w:before="280" w:after="140"/>
        <w:rPr>
          <w:lang w:val="fr-FR"/>
        </w:rPr>
      </w:pPr>
      <w:r w:rsidRPr="00C06A12">
        <w:rPr>
          <w:lang w:val="fr-FR"/>
        </w:rPr>
        <w:t>Ce que ce module résout</w:t>
      </w:r>
    </w:p>
    <w:p w14:paraId="660429B5" w14:textId="77777777" w:rsidR="001B4C95" w:rsidRPr="00C06A12" w:rsidRDefault="00000000">
      <w:pPr>
        <w:spacing w:after="200" w:line="288" w:lineRule="auto"/>
        <w:jc w:val="both"/>
      </w:pPr>
      <w:r w:rsidRPr="00C06A12">
        <w:t>G-Banque centralise le suivi des mises à disposition de fonds de Staport, qu’elles soient reçues (encaissements) ou émises (décaissements), avec un état à jour en permanence et une traçabilité complète de chaque opération.</w:t>
      </w:r>
    </w:p>
    <w:p w14:paraId="48C0F838" w14:textId="77777777" w:rsidR="001B4C95" w:rsidRPr="00C06A12" w:rsidRDefault="00000000">
      <w:pPr>
        <w:pStyle w:val="Titre2"/>
        <w:spacing w:before="280" w:after="140"/>
        <w:rPr>
          <w:lang w:val="fr-FR"/>
        </w:rPr>
      </w:pPr>
      <w:r w:rsidRPr="00C06A12">
        <w:rPr>
          <w:lang w:val="fr-FR"/>
        </w:rPr>
        <w:t>Ce que le système apporte</w:t>
      </w:r>
    </w:p>
    <w:p w14:paraId="2DFF52AA"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Suivi centralisé des deux sens</w:t>
      </w:r>
      <w:r w:rsidRPr="00C06A12">
        <w:rPr>
          <w:lang w:val="fr-FR"/>
        </w:rPr>
        <w:t xml:space="preserve"> : mises à disposition reçues et émises par Staport suivies dans les mêmes écrans, avec un état (en cours, réglé, annulé) toujours à jour.</w:t>
      </w:r>
    </w:p>
    <w:p w14:paraId="371300D3"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Alimentation automatique des décaissements</w:t>
      </w:r>
      <w:r w:rsidRPr="00C06A12">
        <w:rPr>
          <w:lang w:val="fr-FR"/>
        </w:rPr>
        <w:t xml:space="preserve"> : récupérées automatiquement depuis le système de paiement externe – aucune ressaisie.</w:t>
      </w:r>
    </w:p>
    <w:p w14:paraId="6F1379EA"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Vue des encours par banque</w:t>
      </w:r>
      <w:r w:rsidRPr="00C06A12">
        <w:rPr>
          <w:lang w:val="fr-FR"/>
        </w:rPr>
        <w:t xml:space="preserve"> : montant total non encore réglé consultable instantanément, par banque et par sens.</w:t>
      </w:r>
    </w:p>
    <w:p w14:paraId="5938E8FD"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Rapprochement bancaire intégré</w:t>
      </w:r>
      <w:r w:rsidRPr="00C06A12">
        <w:rPr>
          <w:lang w:val="fr-FR"/>
        </w:rPr>
        <w:t xml:space="preserve"> : la validation rattache directement l’opération au rapprochement du mois, sans ressaisie.</w:t>
      </w:r>
    </w:p>
    <w:p w14:paraId="774F09CC"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Protection contre les erreurs</w:t>
      </w:r>
      <w:r w:rsidRPr="00C06A12">
        <w:rPr>
          <w:lang w:val="fr-FR"/>
        </w:rPr>
        <w:t xml:space="preserve"> : une mise à disposition déjà réglée ne peut plus être modifiée, supprimée ou altérée ; toute création, modification ou suppression est auditée.</w:t>
      </w:r>
    </w:p>
    <w:p w14:paraId="2E37D9C9"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Export PDF</w:t>
      </w:r>
      <w:r w:rsidRPr="00C06A12">
        <w:rPr>
          <w:lang w:val="fr-FR"/>
        </w:rPr>
        <w:t xml:space="preserve"> : la liste des décaissements et son écran d’encours peuvent être exportés en PDF en un clic, filtres appliqués, prêt à partager ou archiver.</w:t>
      </w:r>
    </w:p>
    <w:p w14:paraId="2FAAC578" w14:textId="77777777" w:rsidR="001B4C95" w:rsidRPr="00C06A12" w:rsidRDefault="001B4C95">
      <w:pPr>
        <w:pageBreakBefore/>
      </w:pPr>
    </w:p>
    <w:p w14:paraId="45665114" w14:textId="77777777" w:rsidR="001B4C95" w:rsidRPr="00C06A12" w:rsidRDefault="00000000">
      <w:pPr>
        <w:pStyle w:val="Titre1"/>
        <w:pBdr>
          <w:bottom w:val="single" w:sz="8" w:space="8" w:color="B08D57"/>
        </w:pBdr>
        <w:spacing w:after="240"/>
        <w:rPr>
          <w:lang w:val="fr-FR"/>
        </w:rPr>
      </w:pPr>
      <w:bookmarkStart w:id="18" w:name="chap19"/>
      <w:r w:rsidRPr="00C06A12">
        <w:rPr>
          <w:lang w:val="fr-FR"/>
        </w:rPr>
        <w:t>Chapitre 19 – Prélèvements</w:t>
      </w:r>
      <w:bookmarkEnd w:id="18"/>
    </w:p>
    <w:p w14:paraId="014146DC" w14:textId="77777777" w:rsidR="001B4C95" w:rsidRPr="00C06A12" w:rsidRDefault="00000000">
      <w:pPr>
        <w:pStyle w:val="Titre2"/>
        <w:spacing w:before="280" w:after="140"/>
        <w:rPr>
          <w:lang w:val="fr-FR"/>
        </w:rPr>
      </w:pPr>
      <w:r w:rsidRPr="00C06A12">
        <w:rPr>
          <w:lang w:val="fr-FR"/>
        </w:rPr>
        <w:t>Ce que ce module résout</w:t>
      </w:r>
    </w:p>
    <w:p w14:paraId="40480A30" w14:textId="77777777" w:rsidR="001B4C95" w:rsidRPr="00C06A12" w:rsidRDefault="00000000">
      <w:pPr>
        <w:spacing w:after="200" w:line="288" w:lineRule="auto"/>
        <w:jc w:val="both"/>
      </w:pPr>
      <w:r w:rsidRPr="00C06A12">
        <w:t>G-Banque centralise le suivi des prélèvements bancaires de Staport, avec un état à jour en permanence et une traçabilité complète de chaque opération.</w:t>
      </w:r>
    </w:p>
    <w:p w14:paraId="26BBA9FC" w14:textId="77777777" w:rsidR="001B4C95" w:rsidRPr="00C06A12" w:rsidRDefault="00000000">
      <w:pPr>
        <w:pStyle w:val="Titre2"/>
        <w:spacing w:before="280" w:after="140"/>
        <w:rPr>
          <w:lang w:val="fr-FR"/>
        </w:rPr>
      </w:pPr>
      <w:r w:rsidRPr="00C06A12">
        <w:rPr>
          <w:lang w:val="fr-FR"/>
        </w:rPr>
        <w:t>Ce que le système apporte</w:t>
      </w:r>
    </w:p>
    <w:p w14:paraId="0874DF9F"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Suivi centralisé</w:t>
      </w:r>
      <w:r w:rsidRPr="00C06A12">
        <w:rPr>
          <w:lang w:val="fr-FR"/>
        </w:rPr>
        <w:t xml:space="preserve"> : tous les prélèvements suivis dans un écran unique, avec un état (prévu, réglé) toujours à jour.</w:t>
      </w:r>
    </w:p>
    <w:p w14:paraId="06B39DA6"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Génération automatique des charges récurrentes</w:t>
      </w:r>
      <w:r w:rsidRPr="00C06A12">
        <w:rPr>
          <w:lang w:val="fr-FR"/>
        </w:rPr>
        <w:t xml:space="preserve"> : les prélèvements connus à l’avance (ex. cotisation CNSS) sont créés automatiquement chaque mois, pour chaque banque concernée, sans intervention de l’équipe Finance.</w:t>
      </w:r>
    </w:p>
    <w:p w14:paraId="33B39656"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Vue des encours par banque</w:t>
      </w:r>
      <w:r w:rsidRPr="00C06A12">
        <w:rPr>
          <w:lang w:val="fr-FR"/>
        </w:rPr>
        <w:t xml:space="preserve"> : montant total non encore réglé consultable instantanément, par banque.</w:t>
      </w:r>
    </w:p>
    <w:p w14:paraId="0B9B4174"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Rapprochement bancaire intégré</w:t>
      </w:r>
      <w:r w:rsidRPr="00C06A12">
        <w:rPr>
          <w:lang w:val="fr-FR"/>
        </w:rPr>
        <w:t xml:space="preserve"> : la validation rattache directement l’opération au rapprochement du mois, sans ressaisie.</w:t>
      </w:r>
    </w:p>
    <w:p w14:paraId="5E2ABB4E"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Traçabilité complète</w:t>
      </w:r>
      <w:r w:rsidRPr="00C06A12">
        <w:rPr>
          <w:lang w:val="fr-FR"/>
        </w:rPr>
        <w:t xml:space="preserve"> : toute création, modification ou suppression est auditée (auteur, horodatage).</w:t>
      </w:r>
    </w:p>
    <w:p w14:paraId="28609A12"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Export PDF</w:t>
      </w:r>
      <w:r w:rsidRPr="00C06A12">
        <w:rPr>
          <w:lang w:val="fr-FR"/>
        </w:rPr>
        <w:t xml:space="preserve"> : la liste des prélèvements et son écran d’encours peuvent être exportés en PDF en un clic, filtres appliqués, prêt à partager ou archiver.</w:t>
      </w:r>
    </w:p>
    <w:p w14:paraId="1D036C3F" w14:textId="77777777" w:rsidR="001B4C95" w:rsidRPr="00C06A12" w:rsidRDefault="00000000">
      <w:pPr>
        <w:spacing w:after="200" w:line="288" w:lineRule="auto"/>
        <w:jc w:val="both"/>
      </w:pPr>
      <w:r w:rsidRPr="00C06A12">
        <w:t>Toutes ces opérations, quel que soit le module qui les produit, convergent ensuite vers un historique unique : le module Transactions, qui donne une vue consolidée de chaque mouvement bancaire de l’entreprise.</w:t>
      </w:r>
    </w:p>
    <w:p w14:paraId="275C8035" w14:textId="77777777" w:rsidR="001B4C95" w:rsidRPr="00C06A12" w:rsidRDefault="001B4C95">
      <w:pPr>
        <w:pageBreakBefore/>
      </w:pPr>
    </w:p>
    <w:p w14:paraId="22AF4A7F" w14:textId="77777777" w:rsidR="001B4C95" w:rsidRPr="00C06A12" w:rsidRDefault="00000000">
      <w:pPr>
        <w:pStyle w:val="Titre1"/>
        <w:pBdr>
          <w:bottom w:val="single" w:sz="8" w:space="8" w:color="B08D57"/>
        </w:pBdr>
        <w:spacing w:after="240"/>
        <w:rPr>
          <w:lang w:val="fr-FR"/>
        </w:rPr>
      </w:pPr>
      <w:bookmarkStart w:id="19" w:name="chap20"/>
      <w:r w:rsidRPr="00C06A12">
        <w:rPr>
          <w:lang w:val="fr-FR"/>
        </w:rPr>
        <w:t>Chapitre 20 – Transactions</w:t>
      </w:r>
      <w:bookmarkEnd w:id="19"/>
    </w:p>
    <w:p w14:paraId="39C9AA6D" w14:textId="77777777" w:rsidR="001B4C95" w:rsidRPr="00C06A12" w:rsidRDefault="00000000">
      <w:pPr>
        <w:pStyle w:val="Titre2"/>
        <w:spacing w:before="280" w:after="140"/>
        <w:rPr>
          <w:lang w:val="fr-FR"/>
        </w:rPr>
      </w:pPr>
      <w:r w:rsidRPr="00C06A12">
        <w:rPr>
          <w:lang w:val="fr-FR"/>
        </w:rPr>
        <w:t>Ce que ce module résout</w:t>
      </w:r>
    </w:p>
    <w:p w14:paraId="089BEB99" w14:textId="77777777" w:rsidR="001B4C95" w:rsidRPr="00C06A12" w:rsidRDefault="00000000">
      <w:pPr>
        <w:spacing w:after="200" w:line="288" w:lineRule="auto"/>
        <w:jc w:val="both"/>
      </w:pPr>
      <w:r w:rsidRPr="00C06A12">
        <w:t>G-Banque centralise en un seul historique consultable tous les mouvements bancaires produits par l’ensemble des modules financiers de Staport (leasing, crédits, moyens de paiement, agios, commissions, cautions, impôts et taxes, et plus généralement toute opération validée dans un rapprochement). Ceci nous permet une vue unique et fiable de chaque mouvement, sans avoir à consulter chaque module séparément.</w:t>
      </w:r>
    </w:p>
    <w:p w14:paraId="60A9F172" w14:textId="77777777" w:rsidR="001B4C95" w:rsidRPr="00C06A12" w:rsidRDefault="00000000">
      <w:pPr>
        <w:pStyle w:val="Titre2"/>
        <w:spacing w:before="280" w:after="140"/>
        <w:rPr>
          <w:lang w:val="fr-FR"/>
        </w:rPr>
      </w:pPr>
      <w:r w:rsidRPr="00C06A12">
        <w:rPr>
          <w:lang w:val="fr-FR"/>
        </w:rPr>
        <w:t>Ce que le système apporte</w:t>
      </w:r>
    </w:p>
    <w:p w14:paraId="72A08A56"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Traçabilité unifiée</w:t>
      </w:r>
      <w:r w:rsidRPr="00C06A12">
        <w:rPr>
          <w:lang w:val="fr-FR"/>
        </w:rPr>
        <w:t xml:space="preserve"> : chaque opération validée dans n’importe quel module (leasing, crédit moyen terme, chèques, LCN, virements, virements internationaux, mises à disposition, prélèvements, préfinancements, factoring, droits constatés, décomptes, commissions, agios, cautions, impôts et taxes, frais bancaires, restitutions, opérations erronées, impayées) produit automatiquement une transaction dans un historique commun, avec sa source clairement identifiée.</w:t>
      </w:r>
    </w:p>
    <w:p w14:paraId="13E802FA"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Cohérence garantie</w:t>
      </w:r>
      <w:r w:rsidRPr="00C06A12">
        <w:rPr>
          <w:lang w:val="fr-FR"/>
        </w:rPr>
        <w:t xml:space="preserve"> : toute correction ponctuelle (date de valeur, date d’opération, TVA) est automatiquement répercutée sur l’opération source – impossible que les deux divergent silencieusement.</w:t>
      </w:r>
    </w:p>
    <w:p w14:paraId="46C6DC81"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Verrouillage automatique</w:t>
      </w:r>
      <w:r w:rsidRPr="00C06A12">
        <w:rPr>
          <w:lang w:val="fr-FR"/>
        </w:rPr>
        <w:t xml:space="preserve"> : une fois un rapprochement définitivement clôturé, ses transactions ne sont plus modifiables, garantissant l’intégrité des comptes arrêtés.</w:t>
      </w:r>
    </w:p>
    <w:p w14:paraId="560616BB" w14:textId="24233BCF" w:rsidR="001B4C95" w:rsidRPr="00C06A12" w:rsidRDefault="00000000">
      <w:pPr>
        <w:pStyle w:val="Paragraphedeliste"/>
        <w:numPr>
          <w:ilvl w:val="0"/>
          <w:numId w:val="2"/>
        </w:numPr>
        <w:spacing w:after="120" w:line="276" w:lineRule="auto"/>
        <w:jc w:val="both"/>
        <w:rPr>
          <w:lang w:val="fr-FR"/>
        </w:rPr>
      </w:pPr>
      <w:r w:rsidRPr="00C06A12">
        <w:rPr>
          <w:b/>
          <w:bCs/>
          <w:lang w:val="fr-FR"/>
        </w:rPr>
        <w:t>Recherche et filtrage transverses</w:t>
      </w:r>
      <w:r w:rsidRPr="00C06A12">
        <w:rPr>
          <w:lang w:val="fr-FR"/>
        </w:rPr>
        <w:t xml:space="preserve"> : l’historique est consultable par banque, libellé, montant, source ou statut de rapprochement, sans naviguer module par module.</w:t>
      </w:r>
    </w:p>
    <w:p w14:paraId="42A2E3EB"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Export PDF à la demande</w:t>
      </w:r>
      <w:r w:rsidRPr="00C06A12">
        <w:rPr>
          <w:lang w:val="fr-FR"/>
        </w:rPr>
        <w:t xml:space="preserve"> : l’historique filtré est exportable en un clic en document PDF prêt à être partagé ou archivé, avec le détail des mouvements et les totaux débit/crédit – sans ressaisie ni outil externe.</w:t>
      </w:r>
    </w:p>
    <w:p w14:paraId="7E0E7BFE" w14:textId="77777777" w:rsidR="001B4C95" w:rsidRPr="00C06A12" w:rsidRDefault="00000000">
      <w:pPr>
        <w:spacing w:after="200" w:line="288" w:lineRule="auto"/>
        <w:jc w:val="both"/>
      </w:pPr>
      <w:r w:rsidRPr="00C06A12">
        <w:t>Cette vue consolidée des mouvements s’enrichit ensuite du suivi automatique des charges appliquées par les banques – frais bancaires, agios, impôts et taxes, commissions – que G-Banque calcule et rattache directement aux comptes concernés.</w:t>
      </w:r>
    </w:p>
    <w:p w14:paraId="0CB7C65F" w14:textId="77777777" w:rsidR="001B4C95" w:rsidRPr="00C06A12" w:rsidRDefault="001B4C95">
      <w:pPr>
        <w:pageBreakBefore/>
      </w:pPr>
    </w:p>
    <w:p w14:paraId="0141F12C" w14:textId="77777777" w:rsidR="001B4C95" w:rsidRPr="00C06A12" w:rsidRDefault="00000000">
      <w:pPr>
        <w:pStyle w:val="Titre1"/>
        <w:pBdr>
          <w:bottom w:val="single" w:sz="8" w:space="8" w:color="B08D57"/>
        </w:pBdr>
        <w:spacing w:after="240"/>
        <w:rPr>
          <w:lang w:val="fr-FR"/>
        </w:rPr>
      </w:pPr>
      <w:bookmarkStart w:id="20" w:name="chap21"/>
      <w:r w:rsidRPr="00C06A12">
        <w:rPr>
          <w:lang w:val="fr-FR"/>
        </w:rPr>
        <w:t>Chapitre 21 – Frais bancaires</w:t>
      </w:r>
      <w:bookmarkEnd w:id="20"/>
    </w:p>
    <w:p w14:paraId="59CDE379" w14:textId="77777777" w:rsidR="001B4C95" w:rsidRPr="00C06A12" w:rsidRDefault="00000000">
      <w:pPr>
        <w:pStyle w:val="Titre2"/>
        <w:spacing w:before="280" w:after="140"/>
        <w:rPr>
          <w:lang w:val="fr-FR"/>
        </w:rPr>
      </w:pPr>
      <w:r w:rsidRPr="00C06A12">
        <w:rPr>
          <w:lang w:val="fr-FR"/>
        </w:rPr>
        <w:t>Ce que ce module résout</w:t>
      </w:r>
    </w:p>
    <w:p w14:paraId="4A9C8587" w14:textId="77777777" w:rsidR="001B4C95" w:rsidRPr="00C06A12" w:rsidRDefault="00000000">
      <w:pPr>
        <w:spacing w:after="200" w:line="288" w:lineRule="auto"/>
        <w:jc w:val="both"/>
      </w:pPr>
      <w:r w:rsidRPr="00C06A12">
        <w:t>G-Banque centralise le suivi de tous les frais bancaires de Staport – commissions, abonnements et charges diverses facturées par les banques – avec un état à jour en permanence et une génération automatique des charges récurrentes connues à l’avance.</w:t>
      </w:r>
    </w:p>
    <w:p w14:paraId="71BB78E9" w14:textId="77777777" w:rsidR="001B4C95" w:rsidRPr="00C06A12" w:rsidRDefault="00000000">
      <w:pPr>
        <w:pStyle w:val="Titre2"/>
        <w:spacing w:before="280" w:after="140"/>
        <w:rPr>
          <w:lang w:val="fr-FR"/>
        </w:rPr>
      </w:pPr>
      <w:r w:rsidRPr="00C06A12">
        <w:rPr>
          <w:lang w:val="fr-FR"/>
        </w:rPr>
        <w:t>Ce que le système apporte</w:t>
      </w:r>
    </w:p>
    <w:p w14:paraId="401A7FED"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Suivi centralisé</w:t>
      </w:r>
      <w:r w:rsidRPr="00C06A12">
        <w:rPr>
          <w:lang w:val="fr-FR"/>
        </w:rPr>
        <w:t xml:space="preserve"> : tous les frais bancaires suivis dans un écran unique, avec un état (prévu, réglé) toujours à jour, filtrable par banque et libellé.</w:t>
      </w:r>
    </w:p>
    <w:p w14:paraId="53AA758C"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Génération automatique des charges récurrentes</w:t>
      </w:r>
      <w:r w:rsidRPr="00C06A12">
        <w:rPr>
          <w:lang w:val="fr-FR"/>
        </w:rPr>
        <w:t xml:space="preserve"> : les charges fixes connues à l’avance (abonnements, commissions de tenue de compte, etc.) sont créées automatiquement chaque mois, par banque, sans ressaisie ni risque de doublon.</w:t>
      </w:r>
    </w:p>
    <w:p w14:paraId="4D6C5C84"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Paramétrage centralisé</w:t>
      </w:r>
      <w:r w:rsidRPr="00C06A12">
        <w:rPr>
          <w:lang w:val="fr-FR"/>
        </w:rPr>
        <w:t xml:space="preserve"> : la liste des charges récurrentes est administrable directement dans l’application, sans intervention technique pour ajuster un montant ou ajouter une charge.</w:t>
      </w:r>
    </w:p>
    <w:p w14:paraId="512619EE"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Vue des encours par banque</w:t>
      </w:r>
      <w:r w:rsidRPr="00C06A12">
        <w:rPr>
          <w:lang w:val="fr-FR"/>
        </w:rPr>
        <w:t xml:space="preserve"> : montant total non encore réglé consultable instantanément.</w:t>
      </w:r>
    </w:p>
    <w:p w14:paraId="3DBDA178"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Rapprochement bancaire intégré</w:t>
      </w:r>
      <w:r w:rsidRPr="00C06A12">
        <w:rPr>
          <w:lang w:val="fr-FR"/>
        </w:rPr>
        <w:t xml:space="preserve"> : le règlement rattache directement le frais au rapprochement du mois, sans ressaisie.</w:t>
      </w:r>
    </w:p>
    <w:p w14:paraId="2EE8428D"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Protection contre les erreurs</w:t>
      </w:r>
      <w:r w:rsidRPr="00C06A12">
        <w:rPr>
          <w:lang w:val="fr-FR"/>
        </w:rPr>
        <w:t xml:space="preserve"> : un frais bancaire déjà réglé ne peut plus être supprimé ; toute création, modification ou suppression est auditée.</w:t>
      </w:r>
    </w:p>
    <w:p w14:paraId="1F4DD96A"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Export PDF à la demande</w:t>
      </w:r>
      <w:r w:rsidRPr="00C06A12">
        <w:rPr>
          <w:lang w:val="fr-FR"/>
        </w:rPr>
        <w:t xml:space="preserve"> : la liste des frais bancaires filtrée est exportable en un clic en document PDF prêt à être partagé ou archivé, avec le montant total des frais exportés.</w:t>
      </w:r>
    </w:p>
    <w:p w14:paraId="089A8836" w14:textId="77777777" w:rsidR="001B4C95" w:rsidRPr="00C06A12" w:rsidRDefault="001B4C95">
      <w:pPr>
        <w:pageBreakBefore/>
      </w:pPr>
    </w:p>
    <w:p w14:paraId="2B6824C9" w14:textId="77777777" w:rsidR="001B4C95" w:rsidRPr="00C06A12" w:rsidRDefault="00000000">
      <w:pPr>
        <w:pStyle w:val="Titre1"/>
        <w:pBdr>
          <w:bottom w:val="single" w:sz="8" w:space="8" w:color="B08D57"/>
        </w:pBdr>
        <w:spacing w:after="240"/>
        <w:rPr>
          <w:lang w:val="fr-FR"/>
        </w:rPr>
      </w:pPr>
      <w:bookmarkStart w:id="21" w:name="chap22"/>
      <w:r w:rsidRPr="00C06A12">
        <w:rPr>
          <w:lang w:val="fr-FR"/>
        </w:rPr>
        <w:t>Chapitre 22 – Agios bancaires</w:t>
      </w:r>
      <w:bookmarkEnd w:id="21"/>
    </w:p>
    <w:p w14:paraId="5557EA17" w14:textId="77777777" w:rsidR="001B4C95" w:rsidRPr="00C06A12" w:rsidRDefault="00000000">
      <w:pPr>
        <w:pStyle w:val="Titre2"/>
        <w:spacing w:before="280" w:after="140"/>
        <w:rPr>
          <w:lang w:val="fr-FR"/>
        </w:rPr>
      </w:pPr>
      <w:r w:rsidRPr="00C06A12">
        <w:rPr>
          <w:lang w:val="fr-FR"/>
        </w:rPr>
        <w:t>Ce que ce module résout</w:t>
      </w:r>
    </w:p>
    <w:p w14:paraId="28BC619A" w14:textId="77777777" w:rsidR="001B4C95" w:rsidRPr="00C06A12" w:rsidRDefault="00000000">
      <w:pPr>
        <w:spacing w:after="200" w:line="288" w:lineRule="auto"/>
        <w:jc w:val="both"/>
      </w:pPr>
      <w:r w:rsidRPr="00C06A12">
        <w:t>G-Banque automatise l’intégralité du suivi des agios bancaires de Staport : calcul quotidien, clôture trimestrielle ou mensuelle selon le type, et intégration au rapprochement bancaire, sans calcul manuel ni fichier de suivi isolé.</w:t>
      </w:r>
    </w:p>
    <w:p w14:paraId="5DF92457" w14:textId="77777777" w:rsidR="001B4C95" w:rsidRPr="00C06A12" w:rsidRDefault="00000000">
      <w:pPr>
        <w:pStyle w:val="Titre2"/>
        <w:spacing w:before="280" w:after="140"/>
        <w:rPr>
          <w:lang w:val="fr-FR"/>
        </w:rPr>
      </w:pPr>
      <w:r w:rsidRPr="00C06A12">
        <w:rPr>
          <w:lang w:val="fr-FR"/>
        </w:rPr>
        <w:t>Ce que le système apporte</w:t>
      </w:r>
    </w:p>
    <w:p w14:paraId="39F3FDD0"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Calcul automatique chaque nuit</w:t>
      </w:r>
      <w:r w:rsidRPr="00C06A12">
        <w:rPr>
          <w:lang w:val="fr-FR"/>
        </w:rPr>
        <w:t xml:space="preserve"> : le système reconstruit le solde de chaque compte et calcule les agios dus pour la journée, sur quatre types de charges :</w:t>
      </w:r>
    </w:p>
    <w:p w14:paraId="605CF717" w14:textId="77777777" w:rsidR="001B4C95" w:rsidRPr="00C06A12" w:rsidRDefault="00000000">
      <w:pPr>
        <w:spacing w:after="200" w:line="288" w:lineRule="auto"/>
        <w:jc w:val="both"/>
      </w:pPr>
      <w:r w:rsidRPr="00C06A12">
        <w:t xml:space="preserve">- </w:t>
      </w:r>
      <w:r w:rsidRPr="00C06A12">
        <w:rPr>
          <w:b/>
          <w:bCs/>
        </w:rPr>
        <w:t>Facilité de Caisse</w:t>
      </w:r>
      <w:r w:rsidRPr="00C06A12">
        <w:t xml:space="preserve"> : charge calculée chaque jour de découvert, selon le taux négocié avec la banque.</w:t>
      </w:r>
    </w:p>
    <w:p w14:paraId="69802816" w14:textId="77777777" w:rsidR="001B4C95" w:rsidRPr="00C06A12" w:rsidRDefault="00000000">
      <w:pPr>
        <w:spacing w:after="200" w:line="288" w:lineRule="auto"/>
        <w:jc w:val="both"/>
      </w:pPr>
      <w:r w:rsidRPr="00C06A12">
        <w:t xml:space="preserve">- </w:t>
      </w:r>
      <w:r w:rsidRPr="00C06A12">
        <w:rPr>
          <w:b/>
          <w:bCs/>
        </w:rPr>
        <w:t>Préfinancement</w:t>
      </w:r>
      <w:r w:rsidRPr="00C06A12">
        <w:t xml:space="preserve"> : encours reconstitué par marché (déblocages reçus moins remboursements effectués), intérêts journaliers calculés marché par marché, banque par banque, avec une vue détaillée par marché dans le tableau de bord trimestriel.</w:t>
      </w:r>
    </w:p>
    <w:p w14:paraId="748EC20F" w14:textId="77777777" w:rsidR="001B4C95" w:rsidRPr="00C06A12" w:rsidRDefault="00000000">
      <w:pPr>
        <w:spacing w:after="200" w:line="288" w:lineRule="auto"/>
        <w:jc w:val="both"/>
      </w:pPr>
      <w:r w:rsidRPr="00C06A12">
        <w:t xml:space="preserve">- </w:t>
      </w:r>
      <w:r w:rsidRPr="00C06A12">
        <w:rPr>
          <w:b/>
          <w:bCs/>
        </w:rPr>
        <w:t>Droits Constatés</w:t>
      </w:r>
      <w:r w:rsidRPr="00C06A12">
        <w:t xml:space="preserve"> : même logique de reconstitution que le Préfinancement, taux Droits Constatés configuré ; un marché sans ligne active est automatiquement exclu, sans erreur ni agios fantôme.</w:t>
      </w:r>
    </w:p>
    <w:p w14:paraId="23B7B323" w14:textId="77777777" w:rsidR="001B4C95" w:rsidRPr="00C06A12" w:rsidRDefault="00000000">
      <w:pPr>
        <w:spacing w:after="200" w:line="288" w:lineRule="auto"/>
        <w:jc w:val="both"/>
      </w:pPr>
      <w:r w:rsidRPr="00C06A12">
        <w:t xml:space="preserve">- </w:t>
      </w:r>
      <w:r w:rsidRPr="00C06A12">
        <w:rPr>
          <w:b/>
          <w:bCs/>
        </w:rPr>
        <w:t>Factoring</w:t>
      </w:r>
      <w:r w:rsidRPr="00C06A12">
        <w:t xml:space="preserve"> : même logique, taux Factoring configuré, mais agrégation </w:t>
      </w:r>
      <w:r w:rsidRPr="00C06A12">
        <w:rPr>
          <w:b/>
          <w:bCs/>
        </w:rPr>
        <w:t>mensuelle</w:t>
      </w:r>
      <w:r w:rsidRPr="00C06A12">
        <w:t xml:space="preserve"> plutôt que trimestrielle – un suivi plus fin pour cette charge.</w:t>
      </w:r>
    </w:p>
    <w:p w14:paraId="595FF897" w14:textId="77777777" w:rsidR="001B4C95" w:rsidRPr="00C06A12" w:rsidRDefault="00000000">
      <w:pPr>
        <w:spacing w:after="200" w:line="288" w:lineRule="auto"/>
        <w:jc w:val="both"/>
      </w:pPr>
      <w:r w:rsidRPr="00C06A12">
        <w:t>- Pour les trois charges liées aux marchés (Préfinancement, Droits Constatés, Factoring), le taux appliqué est résolu selon une règle de priorité : ligne spécifique au marché en premier, sinon ligne générale de la banque.</w:t>
      </w:r>
    </w:p>
    <w:p w14:paraId="51D09F82"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Clôture trimestrielle automatisée</w:t>
      </w:r>
      <w:r w:rsidRPr="00C06A12">
        <w:rPr>
          <w:lang w:val="fr-FR"/>
        </w:rPr>
        <w:t xml:space="preserve"> : une action de clôture consolide les montants des 3 mois, génère automatiquement la charge d’agios définitive, et l’intègre au circuit de validation et de rapprochement existant.</w:t>
      </w:r>
    </w:p>
    <w:p w14:paraId="4B841239"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Intégration au rapprochement</w:t>
      </w:r>
      <w:r w:rsidRPr="00C06A12">
        <w:rPr>
          <w:lang w:val="fr-FR"/>
        </w:rPr>
        <w:t xml:space="preserve"> : les agios validés créent automatiquement la transaction dans le rapprochement mensuel, sans double saisie ; une annulation reste possible et remet le système dans un état cohérent.</w:t>
      </w:r>
    </w:p>
    <w:p w14:paraId="24BBDFF0" w14:textId="5EC4A731" w:rsidR="001B4C95" w:rsidRPr="00C06A12" w:rsidRDefault="00000000">
      <w:pPr>
        <w:pStyle w:val="Paragraphedeliste"/>
        <w:numPr>
          <w:ilvl w:val="0"/>
          <w:numId w:val="2"/>
        </w:numPr>
        <w:spacing w:after="120" w:line="276" w:lineRule="auto"/>
        <w:jc w:val="both"/>
        <w:rPr>
          <w:lang w:val="fr-FR"/>
        </w:rPr>
      </w:pPr>
      <w:r w:rsidRPr="00C06A12">
        <w:rPr>
          <w:b/>
          <w:bCs/>
          <w:lang w:val="fr-FR"/>
        </w:rPr>
        <w:t>Traçabilité de bout en bout</w:t>
      </w:r>
      <w:r w:rsidRPr="00C06A12">
        <w:rPr>
          <w:lang w:val="fr-FR"/>
        </w:rPr>
        <w:t xml:space="preserve"> : chaque </w:t>
      </w:r>
      <w:r w:rsidR="00C06A12" w:rsidRPr="00C06A12">
        <w:rPr>
          <w:lang w:val="fr-FR"/>
        </w:rPr>
        <w:t>agio</w:t>
      </w:r>
      <w:r w:rsidRPr="00C06A12">
        <w:rPr>
          <w:lang w:val="fr-FR"/>
        </w:rPr>
        <w:t xml:space="preserve"> est traçable – qui l’a créé et quand, qui l’a validé et dans quel rapprochement, et en cas d’annulation, par qui et pour quel motif. La direction peut à tout moment consulter les agios en attente par banque, le détail journalier du calcul (solde du jour, base de calcul, montant) et l’historique par trimestre (HT, TVA, TTC).</w:t>
      </w:r>
    </w:p>
    <w:p w14:paraId="568ABBC0"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Couverture</w:t>
      </w:r>
      <w:r w:rsidRPr="00C06A12">
        <w:rPr>
          <w:lang w:val="fr-FR"/>
        </w:rPr>
        <w:t xml:space="preserve"> : toutes les banques actives dans G-Banque ; quatre types calculés automatiquement (Facilité de Caisse, Préfinancement, Droits Constatés, Factoring) sans aucune intervention manuelle ; calcul chaque nuit, 7j/7 ; horizon de suivi = période courante (trimestre pour FC/PREFI/DC, mois pour Factoring) avec détail jour par jour ; tous les marchés avec une ligne de préfinancement active sont suivis.</w:t>
      </w:r>
    </w:p>
    <w:p w14:paraId="23518C1E"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lastRenderedPageBreak/>
        <w:t>Export PDF à chaque niveau de consultation</w:t>
      </w:r>
      <w:r w:rsidRPr="00C06A12">
        <w:rPr>
          <w:lang w:val="fr-FR"/>
        </w:rPr>
        <w:t xml:space="preserve"> : la liste des agios ponctuels, la vue des encours par banque, le tableau de bord des périodes calculées et le détail journalier d’une période peuvent chacun être exportés en PDF, reprenant exactement les filtres appliqués à l’écran – un document prêt à partager ou archiver sans ressaisie.</w:t>
      </w:r>
    </w:p>
    <w:p w14:paraId="0A792CCC" w14:textId="77777777" w:rsidR="001B4C95" w:rsidRPr="00C06A12" w:rsidRDefault="001B4C95">
      <w:pPr>
        <w:pageBreakBefore/>
      </w:pPr>
    </w:p>
    <w:p w14:paraId="65B8560A" w14:textId="77777777" w:rsidR="001B4C95" w:rsidRPr="00C06A12" w:rsidRDefault="00000000">
      <w:pPr>
        <w:pStyle w:val="Titre1"/>
        <w:pBdr>
          <w:bottom w:val="single" w:sz="8" w:space="8" w:color="B08D57"/>
        </w:pBdr>
        <w:spacing w:after="240"/>
        <w:rPr>
          <w:lang w:val="fr-FR"/>
        </w:rPr>
      </w:pPr>
      <w:bookmarkStart w:id="22" w:name="chap23"/>
      <w:r w:rsidRPr="00C06A12">
        <w:rPr>
          <w:lang w:val="fr-FR"/>
        </w:rPr>
        <w:t>Chapitre 23 – Impôts et Taxes</w:t>
      </w:r>
      <w:bookmarkEnd w:id="22"/>
    </w:p>
    <w:p w14:paraId="6BC9A5DB" w14:textId="77777777" w:rsidR="001B4C95" w:rsidRPr="00C06A12" w:rsidRDefault="00000000">
      <w:pPr>
        <w:pStyle w:val="Titre2"/>
        <w:spacing w:before="280" w:after="140"/>
        <w:rPr>
          <w:lang w:val="fr-FR"/>
        </w:rPr>
      </w:pPr>
      <w:r w:rsidRPr="00C06A12">
        <w:rPr>
          <w:lang w:val="fr-FR"/>
        </w:rPr>
        <w:t>Ce que ce module résout</w:t>
      </w:r>
    </w:p>
    <w:p w14:paraId="31ECB5CD" w14:textId="77777777" w:rsidR="001B4C95" w:rsidRPr="00C06A12" w:rsidRDefault="00000000">
      <w:pPr>
        <w:spacing w:after="200" w:line="288" w:lineRule="auto"/>
        <w:jc w:val="both"/>
      </w:pPr>
      <w:r w:rsidRPr="00C06A12">
        <w:t>G-Banque centralise le suivi des impôts et taxes de Staport auprès de ses banques – TVA, IR, IS, retenue à la source et prélèvements fiscaux ou parafiscaux – avec un état à jour en permanence et une traçabilité complète de chaque opération.</w:t>
      </w:r>
    </w:p>
    <w:p w14:paraId="61073B09" w14:textId="77777777" w:rsidR="001B4C95" w:rsidRPr="00C06A12" w:rsidRDefault="00000000">
      <w:pPr>
        <w:pStyle w:val="Titre2"/>
        <w:spacing w:before="280" w:after="140"/>
        <w:rPr>
          <w:lang w:val="fr-FR"/>
        </w:rPr>
      </w:pPr>
      <w:r w:rsidRPr="00C06A12">
        <w:rPr>
          <w:lang w:val="fr-FR"/>
        </w:rPr>
        <w:t>Ce que le système apporte</w:t>
      </w:r>
    </w:p>
    <w:p w14:paraId="6D709FA2"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Suivi centralisé</w:t>
      </w:r>
      <w:r w:rsidRPr="00C06A12">
        <w:rPr>
          <w:lang w:val="fr-FR"/>
        </w:rPr>
        <w:t xml:space="preserve"> : tous les impôts et taxes suivis dans un écran unique, avec un état (prévu, réglé) toujours à jour.</w:t>
      </w:r>
    </w:p>
    <w:p w14:paraId="14A9021D"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Génération automatique des charges récurrentes</w:t>
      </w:r>
      <w:r w:rsidRPr="00C06A12">
        <w:rPr>
          <w:lang w:val="fr-FR"/>
        </w:rPr>
        <w:t xml:space="preserve"> : impôts et taxes périodiques connus (TVA mensuelle, IS trimestriel, etc.) générés automatiquement chaque mois, avec protection intégrée contre les doublons.</w:t>
      </w:r>
    </w:p>
    <w:p w14:paraId="32C2DA8B"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Rattachement automatique aux commissions et cautions</w:t>
      </w:r>
      <w:r w:rsidRPr="00C06A12">
        <w:rPr>
          <w:lang w:val="fr-FR"/>
        </w:rPr>
        <w:t xml:space="preserve"> : la TVA générée par une commission sur caution est créée, mise à jour et supprimée automatiquement, en cohérence permanente avec sa source.</w:t>
      </w:r>
    </w:p>
    <w:p w14:paraId="7846CF53"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Fusion de TVA</w:t>
      </w:r>
      <w:r w:rsidRPr="00C06A12">
        <w:rPr>
          <w:lang w:val="fr-FR"/>
        </w:rPr>
        <w:t xml:space="preserve"> : plusieurs lignes de TVA d’une même banque, même date et même motif peuvent être regroupées en une seule écriture, simplifiant le suivi et le rapprochement.</w:t>
      </w:r>
    </w:p>
    <w:p w14:paraId="4F8C9245"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Vue des encours par banque</w:t>
      </w:r>
      <w:r w:rsidRPr="00C06A12">
        <w:rPr>
          <w:lang w:val="fr-FR"/>
        </w:rPr>
        <w:t xml:space="preserve"> : montant total non encore réglé consultable instantanément.</w:t>
      </w:r>
    </w:p>
    <w:p w14:paraId="5ED4494A"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Rapprochement bancaire intégré</w:t>
      </w:r>
      <w:r w:rsidRPr="00C06A12">
        <w:rPr>
          <w:lang w:val="fr-FR"/>
        </w:rPr>
        <w:t xml:space="preserve"> : la validation rattache directement l’opération au rapprochement du mois, sans ressaisie.</w:t>
      </w:r>
    </w:p>
    <w:p w14:paraId="110C8F20"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Export PDF à la demande</w:t>
      </w:r>
      <w:r w:rsidRPr="00C06A12">
        <w:rPr>
          <w:lang w:val="fr-FR"/>
        </w:rPr>
        <w:t xml:space="preserve"> : la liste des impôts et taxes et l’écran d’encours par banque peuvent être exportés en PDF en un clic, filtres appliqués – un document prêt à partager ou archiver sans ressaisie.</w:t>
      </w:r>
    </w:p>
    <w:p w14:paraId="29DB800A" w14:textId="77777777" w:rsidR="001B4C95" w:rsidRPr="00C06A12" w:rsidRDefault="001B4C95">
      <w:pPr>
        <w:pageBreakBefore/>
      </w:pPr>
    </w:p>
    <w:p w14:paraId="64CBC910" w14:textId="77777777" w:rsidR="001B4C95" w:rsidRPr="00C06A12" w:rsidRDefault="00000000">
      <w:pPr>
        <w:pStyle w:val="Titre1"/>
        <w:pBdr>
          <w:bottom w:val="single" w:sz="8" w:space="8" w:color="B08D57"/>
        </w:pBdr>
        <w:spacing w:after="240"/>
        <w:rPr>
          <w:lang w:val="fr-FR"/>
        </w:rPr>
      </w:pPr>
      <w:bookmarkStart w:id="23" w:name="chap24"/>
      <w:r w:rsidRPr="00C06A12">
        <w:rPr>
          <w:lang w:val="fr-FR"/>
        </w:rPr>
        <w:t>Chapitre 24 – Commissions bancaires</w:t>
      </w:r>
      <w:bookmarkEnd w:id="23"/>
    </w:p>
    <w:p w14:paraId="78ED44F3" w14:textId="77777777" w:rsidR="001B4C95" w:rsidRPr="00C06A12" w:rsidRDefault="00000000">
      <w:pPr>
        <w:pStyle w:val="Titre2"/>
        <w:spacing w:before="280" w:after="140"/>
        <w:rPr>
          <w:lang w:val="fr-FR"/>
        </w:rPr>
      </w:pPr>
      <w:r w:rsidRPr="00C06A12">
        <w:rPr>
          <w:lang w:val="fr-FR"/>
        </w:rPr>
        <w:t>Ce que ce module résout</w:t>
      </w:r>
    </w:p>
    <w:p w14:paraId="417B0BD3" w14:textId="77777777" w:rsidR="001B4C95" w:rsidRPr="00C06A12" w:rsidRDefault="00000000">
      <w:pPr>
        <w:spacing w:after="200" w:line="288" w:lineRule="auto"/>
        <w:jc w:val="both"/>
      </w:pPr>
      <w:r w:rsidRPr="00C06A12">
        <w:t>Chaque opération financière de Staport (paiement d’un loyer leasing, émission d’un virement, etc.) peut entraîner une commission bancaire. G-Banque automatise entièrement la génération et le suivi de ces commissions, en appliquant des règles configurables selon la banque et le type d’opération.</w:t>
      </w:r>
    </w:p>
    <w:p w14:paraId="288166B6" w14:textId="77777777" w:rsidR="001B4C95" w:rsidRPr="00C06A12" w:rsidRDefault="00000000">
      <w:pPr>
        <w:pStyle w:val="Titre2"/>
        <w:spacing w:before="280" w:after="140"/>
        <w:rPr>
          <w:lang w:val="fr-FR"/>
        </w:rPr>
      </w:pPr>
      <w:r w:rsidRPr="00C06A12">
        <w:rPr>
          <w:lang w:val="fr-FR"/>
        </w:rPr>
        <w:t>Ce que le système apporte</w:t>
      </w:r>
    </w:p>
    <w:p w14:paraId="074E0B6B"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Génération automatique</w:t>
      </w:r>
      <w:r w:rsidRPr="00C06A12">
        <w:rPr>
          <w:lang w:val="fr-FR"/>
        </w:rPr>
        <w:t xml:space="preserve"> : à chaque opération éligible (échéance leasing, virement, LCN de décaissement, mise à disposition de décaissement, prise/échéance/clôture de caution), la commission due est calculée et enregistrée automatiquement selon les règles configurées – aucune saisie manuelle en fin de mois.</w:t>
      </w:r>
    </w:p>
    <w:p w14:paraId="5818BD4B"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Règles flexibles par banque et organisme</w:t>
      </w:r>
      <w:r w:rsidRPr="00C06A12">
        <w:rPr>
          <w:lang w:val="fr-FR"/>
        </w:rPr>
        <w:t xml:space="preserve"> : les montants varient selon la banque et parfois l’organisme (ex. BMCI Leasing ≠ CIH Leasing) ; logique de résolution : règle spécifique à l’organisme \&gt; règle pour les autres organismes \&gt; règle générale par défaut.</w:t>
      </w:r>
    </w:p>
    <w:p w14:paraId="4822D3A4"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Suivi jusqu’au paiement</w:t>
      </w:r>
      <w:r w:rsidRPr="00C06A12">
        <w:rPr>
          <w:lang w:val="fr-FR"/>
        </w:rPr>
        <w:t xml:space="preserve"> : les commissions générées sont intégrées au circuit de validation et de rapprochement mensuel, visibles jusqu’à leur règlement effectif.</w:t>
      </w:r>
    </w:p>
    <w:p w14:paraId="7B1E1BE8" w14:textId="21C3CDA2" w:rsidR="001B4C95" w:rsidRPr="00C06A12" w:rsidRDefault="00000000">
      <w:pPr>
        <w:pStyle w:val="Paragraphedeliste"/>
        <w:numPr>
          <w:ilvl w:val="0"/>
          <w:numId w:val="2"/>
        </w:numPr>
        <w:spacing w:after="120" w:line="276" w:lineRule="auto"/>
        <w:jc w:val="both"/>
        <w:rPr>
          <w:lang w:val="fr-FR"/>
        </w:rPr>
      </w:pPr>
      <w:r w:rsidRPr="00C06A12">
        <w:rPr>
          <w:b/>
          <w:bCs/>
          <w:lang w:val="fr-FR"/>
        </w:rPr>
        <w:t>Configuration sans intervention technique</w:t>
      </w:r>
      <w:r w:rsidRPr="00C06A12">
        <w:rPr>
          <w:lang w:val="fr-FR"/>
        </w:rPr>
        <w:t xml:space="preserve"> : montants et règles modifiables depuis l’interface </w:t>
      </w:r>
      <w:r w:rsidR="00C06A12" w:rsidRPr="00C06A12">
        <w:rPr>
          <w:lang w:val="fr-FR"/>
        </w:rPr>
        <w:t>d’administration.</w:t>
      </w:r>
    </w:p>
    <w:p w14:paraId="4D21919C"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Export PDF à la demande</w:t>
      </w:r>
      <w:r w:rsidRPr="00C06A12">
        <w:rPr>
          <w:lang w:val="fr-FR"/>
        </w:rPr>
        <w:t xml:space="preserve"> : la liste des commissions et l’écran d’encours par banque peuvent être exportés en PDF en un clic, filtres appliqués – un document prêt à partager ou archiver sans ressaisie.</w:t>
      </w:r>
    </w:p>
    <w:p w14:paraId="1BDBF11B" w14:textId="77777777" w:rsidR="001B4C95" w:rsidRPr="00C06A12" w:rsidRDefault="00000000">
      <w:pPr>
        <w:spacing w:after="200" w:line="288" w:lineRule="auto"/>
        <w:jc w:val="both"/>
      </w:pPr>
      <w:r w:rsidRPr="00C06A12">
        <w:t>G-Banque prend également en charge les situations qui s’écartent du cours normal des opérations – impayées, opérations erronées et restitutions – avec la même traçabilité que les opérations standards.</w:t>
      </w:r>
    </w:p>
    <w:p w14:paraId="5FBD4DB5" w14:textId="77777777" w:rsidR="001B4C95" w:rsidRPr="00C06A12" w:rsidRDefault="001B4C95">
      <w:pPr>
        <w:pageBreakBefore/>
      </w:pPr>
    </w:p>
    <w:p w14:paraId="7C5AFBBB" w14:textId="77777777" w:rsidR="001B4C95" w:rsidRPr="00C06A12" w:rsidRDefault="00000000">
      <w:pPr>
        <w:pStyle w:val="Titre1"/>
        <w:pBdr>
          <w:bottom w:val="single" w:sz="8" w:space="8" w:color="B08D57"/>
        </w:pBdr>
        <w:spacing w:after="240"/>
        <w:rPr>
          <w:lang w:val="fr-FR"/>
        </w:rPr>
      </w:pPr>
      <w:bookmarkStart w:id="24" w:name="chap25"/>
      <w:r w:rsidRPr="00C06A12">
        <w:rPr>
          <w:lang w:val="fr-FR"/>
        </w:rPr>
        <w:t>Chapitre 25 – Impayées</w:t>
      </w:r>
      <w:bookmarkEnd w:id="24"/>
    </w:p>
    <w:p w14:paraId="4978331D" w14:textId="77777777" w:rsidR="001B4C95" w:rsidRPr="00C06A12" w:rsidRDefault="00000000">
      <w:pPr>
        <w:pStyle w:val="Titre2"/>
        <w:spacing w:before="280" w:after="140"/>
        <w:rPr>
          <w:lang w:val="fr-FR"/>
        </w:rPr>
      </w:pPr>
      <w:r w:rsidRPr="00C06A12">
        <w:rPr>
          <w:lang w:val="fr-FR"/>
        </w:rPr>
        <w:t>Ce que ce module résout</w:t>
      </w:r>
    </w:p>
    <w:p w14:paraId="234DB4E1" w14:textId="77777777" w:rsidR="001B4C95" w:rsidRPr="00C06A12" w:rsidRDefault="00000000">
      <w:pPr>
        <w:spacing w:after="200" w:line="288" w:lineRule="auto"/>
        <w:jc w:val="both"/>
      </w:pPr>
      <w:r w:rsidRPr="00C06A12">
        <w:t>G-Banque centralise le suivi des chèques, effets et autres moyens de paiement rejetés par les banques de Staport – encaissements comme décaissements – avec un état à jour en permanence et une traçabilité complète de chaque régularisation.</w:t>
      </w:r>
    </w:p>
    <w:p w14:paraId="7720F14E" w14:textId="77777777" w:rsidR="001B4C95" w:rsidRPr="00C06A12" w:rsidRDefault="00000000">
      <w:pPr>
        <w:pStyle w:val="Titre2"/>
        <w:spacing w:before="280" w:after="140"/>
        <w:rPr>
          <w:lang w:val="fr-FR"/>
        </w:rPr>
      </w:pPr>
      <w:r w:rsidRPr="00C06A12">
        <w:rPr>
          <w:lang w:val="fr-FR"/>
        </w:rPr>
        <w:t>Ce que le système apporte</w:t>
      </w:r>
    </w:p>
    <w:p w14:paraId="45D627CF"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Suivi centralisé</w:t>
      </w:r>
      <w:r w:rsidRPr="00C06A12">
        <w:rPr>
          <w:lang w:val="fr-FR"/>
        </w:rPr>
        <w:t xml:space="preserve"> : toutes les impayées suivies dans un écran unique, avec un état (prévue, réglée) toujours à jour, filtrable par banque, motif, type (encaissement/décaissement) et statut.</w:t>
      </w:r>
    </w:p>
    <w:p w14:paraId="43C20E62"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Vue des encours par banque</w:t>
      </w:r>
      <w:r w:rsidRPr="00C06A12">
        <w:rPr>
          <w:lang w:val="fr-FR"/>
        </w:rPr>
        <w:t xml:space="preserve"> : montant total non encore régularisé consultable instantanément, par banque et par type.</w:t>
      </w:r>
    </w:p>
    <w:p w14:paraId="06AEABCF"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Rapprochement bancaire intégré</w:t>
      </w:r>
      <w:r w:rsidRPr="00C06A12">
        <w:rPr>
          <w:lang w:val="fr-FR"/>
        </w:rPr>
        <w:t xml:space="preserve"> : la régularisation rattache directement l’impayée au rapprochement du mois, avec calcul automatique de la TVA associée, sans ressaisie.</w:t>
      </w:r>
    </w:p>
    <w:p w14:paraId="7601CE62"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Protection contre les erreurs</w:t>
      </w:r>
      <w:r w:rsidRPr="00C06A12">
        <w:rPr>
          <w:lang w:val="fr-FR"/>
        </w:rPr>
        <w:t xml:space="preserve"> : une impayée déjà régularisée ne peut plus être supprimée.</w:t>
      </w:r>
    </w:p>
    <w:p w14:paraId="3E57698E"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Traçabilité complète</w:t>
      </w:r>
      <w:r w:rsidRPr="00C06A12">
        <w:rPr>
          <w:lang w:val="fr-FR"/>
        </w:rPr>
        <w:t xml:space="preserve"> : chaque impayée reste reliée au moyen de paiement d’origine qui l’a générée ; toute création, modification ou suppression est auditée.</w:t>
      </w:r>
    </w:p>
    <w:p w14:paraId="3A79526A"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Export PDF à la demande</w:t>
      </w:r>
      <w:r w:rsidRPr="00C06A12">
        <w:rPr>
          <w:lang w:val="fr-FR"/>
        </w:rPr>
        <w:t xml:space="preserve"> : la liste des impayées et chacun des deux écrans d’encours (encaissement, décaissement) peuvent être exportés en PDF en un clic, filtres appliqués – un document prêt à partager ou archiver sans ressaisie.</w:t>
      </w:r>
    </w:p>
    <w:p w14:paraId="5B5B8093" w14:textId="77777777" w:rsidR="001B4C95" w:rsidRPr="00C06A12" w:rsidRDefault="001B4C95">
      <w:pPr>
        <w:pageBreakBefore/>
      </w:pPr>
    </w:p>
    <w:p w14:paraId="60607FF6" w14:textId="77777777" w:rsidR="001B4C95" w:rsidRPr="00C06A12" w:rsidRDefault="00000000">
      <w:pPr>
        <w:pStyle w:val="Titre1"/>
        <w:pBdr>
          <w:bottom w:val="single" w:sz="8" w:space="8" w:color="B08D57"/>
        </w:pBdr>
        <w:spacing w:after="240"/>
        <w:rPr>
          <w:lang w:val="fr-FR"/>
        </w:rPr>
      </w:pPr>
      <w:bookmarkStart w:id="25" w:name="chap26"/>
      <w:r w:rsidRPr="00C06A12">
        <w:rPr>
          <w:lang w:val="fr-FR"/>
        </w:rPr>
        <w:t>Chapitre 26 – Opérations Erronées</w:t>
      </w:r>
      <w:bookmarkEnd w:id="25"/>
    </w:p>
    <w:p w14:paraId="7119E42B" w14:textId="77777777" w:rsidR="001B4C95" w:rsidRPr="00C06A12" w:rsidRDefault="00000000">
      <w:pPr>
        <w:pStyle w:val="Titre2"/>
        <w:spacing w:before="280" w:after="140"/>
        <w:rPr>
          <w:lang w:val="fr-FR"/>
        </w:rPr>
      </w:pPr>
      <w:r w:rsidRPr="00C06A12">
        <w:rPr>
          <w:lang w:val="fr-FR"/>
        </w:rPr>
        <w:t>Ce que ce module résout</w:t>
      </w:r>
    </w:p>
    <w:p w14:paraId="095343BB" w14:textId="77777777" w:rsidR="001B4C95" w:rsidRPr="00C06A12" w:rsidRDefault="00000000">
      <w:pPr>
        <w:spacing w:after="200" w:line="288" w:lineRule="auto"/>
        <w:jc w:val="both"/>
      </w:pPr>
      <w:r w:rsidRPr="00C06A12">
        <w:t>G-Banque centralise le suivi des opérations bancaires enregistrées par erreur et devant être régularisées, avec un état à jour en permanence et une traçabilité complète de chaque correction.</w:t>
      </w:r>
    </w:p>
    <w:p w14:paraId="5A5A0505" w14:textId="77777777" w:rsidR="001B4C95" w:rsidRPr="00C06A12" w:rsidRDefault="00000000">
      <w:pPr>
        <w:pStyle w:val="Titre2"/>
        <w:spacing w:before="280" w:after="140"/>
        <w:rPr>
          <w:lang w:val="fr-FR"/>
        </w:rPr>
      </w:pPr>
      <w:r w:rsidRPr="00C06A12">
        <w:rPr>
          <w:lang w:val="fr-FR"/>
        </w:rPr>
        <w:t>Ce que le système apporte</w:t>
      </w:r>
    </w:p>
    <w:p w14:paraId="4A7F7179"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Suivi centralisé</w:t>
      </w:r>
      <w:r w:rsidRPr="00C06A12">
        <w:rPr>
          <w:lang w:val="fr-FR"/>
        </w:rPr>
        <w:t xml:space="preserve"> : toutes les opérations erronées suivies dans un écran unique, avec un état (prévue, réglée) toujours à jour, filtrable par banque, motif, statut et libellé.</w:t>
      </w:r>
    </w:p>
    <w:p w14:paraId="163114F0"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Vue des encours par banque</w:t>
      </w:r>
      <w:r w:rsidRPr="00C06A12">
        <w:rPr>
          <w:lang w:val="fr-FR"/>
        </w:rPr>
        <w:t xml:space="preserve"> : montant total non encore régularisé consultable instantanément.</w:t>
      </w:r>
    </w:p>
    <w:p w14:paraId="73FCF6D4"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Rapprochement bancaire intégré</w:t>
      </w:r>
      <w:r w:rsidRPr="00C06A12">
        <w:rPr>
          <w:lang w:val="fr-FR"/>
        </w:rPr>
        <w:t xml:space="preserve"> : la régularisation rattache directement l’opération au rapprochement du mois, avec calcul automatique de la TVA associée, sans ressaisie.</w:t>
      </w:r>
    </w:p>
    <w:p w14:paraId="4A961355"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Protection contre les erreurs</w:t>
      </w:r>
      <w:r w:rsidRPr="00C06A12">
        <w:rPr>
          <w:lang w:val="fr-FR"/>
        </w:rPr>
        <w:t xml:space="preserve"> : une opération erronée déjà régularisée ne peut plus être supprimée.</w:t>
      </w:r>
    </w:p>
    <w:p w14:paraId="7A708881"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Traçabilité complète</w:t>
      </w:r>
      <w:r w:rsidRPr="00C06A12">
        <w:rPr>
          <w:lang w:val="fr-FR"/>
        </w:rPr>
        <w:t xml:space="preserve"> : chaque opération erronée reste reliée au moyen de paiement d’origine concerné ; toute création, modification ou suppression est auditée.</w:t>
      </w:r>
    </w:p>
    <w:p w14:paraId="4A31BAE4"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Export PDF à la demande</w:t>
      </w:r>
      <w:r w:rsidRPr="00C06A12">
        <w:rPr>
          <w:lang w:val="fr-FR"/>
        </w:rPr>
        <w:t xml:space="preserve"> : la liste des opérations erronées et l’écran d’encours par banque peuvent être exportés en PDF en un clic, filtres appliqués – un document prêt à partager ou archiver sans ressaisie.</w:t>
      </w:r>
    </w:p>
    <w:p w14:paraId="70DBAABF" w14:textId="77777777" w:rsidR="001B4C95" w:rsidRPr="00C06A12" w:rsidRDefault="001B4C95">
      <w:pPr>
        <w:pageBreakBefore/>
      </w:pPr>
    </w:p>
    <w:p w14:paraId="36324D22" w14:textId="77777777" w:rsidR="001B4C95" w:rsidRPr="00C06A12" w:rsidRDefault="00000000">
      <w:pPr>
        <w:pStyle w:val="Titre1"/>
        <w:pBdr>
          <w:bottom w:val="single" w:sz="8" w:space="8" w:color="B08D57"/>
        </w:pBdr>
        <w:spacing w:after="240"/>
        <w:rPr>
          <w:lang w:val="fr-FR"/>
        </w:rPr>
      </w:pPr>
      <w:bookmarkStart w:id="26" w:name="chap27"/>
      <w:r w:rsidRPr="00C06A12">
        <w:rPr>
          <w:lang w:val="fr-FR"/>
        </w:rPr>
        <w:t>Chapitre 27 – Restitution</w:t>
      </w:r>
      <w:bookmarkEnd w:id="26"/>
    </w:p>
    <w:p w14:paraId="42C5F2FC" w14:textId="77777777" w:rsidR="001B4C95" w:rsidRPr="00C06A12" w:rsidRDefault="00000000">
      <w:pPr>
        <w:pStyle w:val="Titre2"/>
        <w:spacing w:before="280" w:after="140"/>
        <w:rPr>
          <w:lang w:val="fr-FR"/>
        </w:rPr>
      </w:pPr>
      <w:r w:rsidRPr="00C06A12">
        <w:rPr>
          <w:lang w:val="fr-FR"/>
        </w:rPr>
        <w:t>Ce que ce module résout</w:t>
      </w:r>
    </w:p>
    <w:p w14:paraId="3F077B06" w14:textId="77777777" w:rsidR="001B4C95" w:rsidRPr="00C06A12" w:rsidRDefault="00000000">
      <w:pPr>
        <w:spacing w:after="200" w:line="288" w:lineRule="auto"/>
        <w:jc w:val="both"/>
      </w:pPr>
      <w:r w:rsidRPr="00C06A12">
        <w:t>G-Banque centralise le suivi des sommes que les banques doivent reverser à Staport (restitutions), avec un état à jour en permanence et une traçabilité complète de chaque régularisation.</w:t>
      </w:r>
    </w:p>
    <w:p w14:paraId="1D0767FA" w14:textId="77777777" w:rsidR="001B4C95" w:rsidRPr="00C06A12" w:rsidRDefault="00000000">
      <w:pPr>
        <w:pStyle w:val="Titre2"/>
        <w:spacing w:before="280" w:after="140"/>
        <w:rPr>
          <w:lang w:val="fr-FR"/>
        </w:rPr>
      </w:pPr>
      <w:r w:rsidRPr="00C06A12">
        <w:rPr>
          <w:lang w:val="fr-FR"/>
        </w:rPr>
        <w:t>Ce que le système apporte</w:t>
      </w:r>
    </w:p>
    <w:p w14:paraId="402CB0A5"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Suivi centralisé</w:t>
      </w:r>
      <w:r w:rsidRPr="00C06A12">
        <w:rPr>
          <w:lang w:val="fr-FR"/>
        </w:rPr>
        <w:t xml:space="preserve"> : toutes les restitutions suivies dans un écran unique, avec un état (prévue, réglée) toujours à jour, filtrable par banque, statut et libellé.</w:t>
      </w:r>
    </w:p>
    <w:p w14:paraId="0D818715"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Vue des encours par banque</w:t>
      </w:r>
      <w:r w:rsidRPr="00C06A12">
        <w:rPr>
          <w:lang w:val="fr-FR"/>
        </w:rPr>
        <w:t xml:space="preserve"> : montant total non encore encaissé consultable instantanément.</w:t>
      </w:r>
    </w:p>
    <w:p w14:paraId="3D27DBA3"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Rapprochement bancaire intégré</w:t>
      </w:r>
      <w:r w:rsidRPr="00C06A12">
        <w:rPr>
          <w:lang w:val="fr-FR"/>
        </w:rPr>
        <w:t xml:space="preserve"> : la régularisation rattache directement la restitution au rapprochement du mois, avec calcul automatique de la TVA associée, sans ressaisie.</w:t>
      </w:r>
    </w:p>
    <w:p w14:paraId="3D21E018"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Traçabilité complète</w:t>
      </w:r>
      <w:r w:rsidRPr="00C06A12">
        <w:rPr>
          <w:lang w:val="fr-FR"/>
        </w:rPr>
        <w:t xml:space="preserve"> : toute création, modification ou suppression est auditée (auteur, horodatage).</w:t>
      </w:r>
    </w:p>
    <w:p w14:paraId="579ED76D"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Export PDF à la demande</w:t>
      </w:r>
      <w:r w:rsidRPr="00C06A12">
        <w:rPr>
          <w:lang w:val="fr-FR"/>
        </w:rPr>
        <w:t xml:space="preserve"> : la liste des restitutions et l’écran d’encours par banque peuvent être exportés en PDF en un clic, filtres appliqués – un document prêt à partager ou archiver sans ressaisie.</w:t>
      </w:r>
    </w:p>
    <w:p w14:paraId="03BB6138" w14:textId="77777777" w:rsidR="001B4C95" w:rsidRPr="00C06A12" w:rsidRDefault="00000000">
      <w:pPr>
        <w:spacing w:after="200" w:line="288" w:lineRule="auto"/>
        <w:jc w:val="both"/>
      </w:pPr>
      <w:r w:rsidRPr="00C06A12">
        <w:t>L’ensemble de ces opérations, standards comme anomalies, converge chaque mois vers le rapprochement bancaire, où G-Banque garantit la cohérence entre la comptabilité de Staport et la réalité de chaque compte.</w:t>
      </w:r>
    </w:p>
    <w:p w14:paraId="468D550B" w14:textId="77777777" w:rsidR="001B4C95" w:rsidRPr="00C06A12" w:rsidRDefault="001B4C95">
      <w:pPr>
        <w:pageBreakBefore/>
      </w:pPr>
    </w:p>
    <w:p w14:paraId="37046D93" w14:textId="77777777" w:rsidR="001B4C95" w:rsidRPr="00C06A12" w:rsidRDefault="00000000">
      <w:pPr>
        <w:pStyle w:val="Titre1"/>
        <w:pBdr>
          <w:bottom w:val="single" w:sz="8" w:space="8" w:color="B08D57"/>
        </w:pBdr>
        <w:spacing w:after="240"/>
        <w:rPr>
          <w:lang w:val="fr-FR"/>
        </w:rPr>
      </w:pPr>
      <w:bookmarkStart w:id="27" w:name="chap28"/>
      <w:r w:rsidRPr="00C06A12">
        <w:rPr>
          <w:lang w:val="fr-FR"/>
        </w:rPr>
        <w:t>Chapitre 28 – Rapprochement</w:t>
      </w:r>
      <w:bookmarkEnd w:id="27"/>
    </w:p>
    <w:p w14:paraId="3FEC6D6E" w14:textId="77777777" w:rsidR="001B4C95" w:rsidRPr="00C06A12" w:rsidRDefault="00000000">
      <w:pPr>
        <w:pStyle w:val="Titre2"/>
        <w:spacing w:before="280" w:after="140"/>
        <w:rPr>
          <w:lang w:val="fr-FR"/>
        </w:rPr>
      </w:pPr>
      <w:r w:rsidRPr="00C06A12">
        <w:rPr>
          <w:lang w:val="fr-FR"/>
        </w:rPr>
        <w:t>Ce que ce module résout</w:t>
      </w:r>
    </w:p>
    <w:p w14:paraId="6C2EE44F" w14:textId="77777777" w:rsidR="001B4C95" w:rsidRPr="00C06A12" w:rsidRDefault="00000000">
      <w:pPr>
        <w:spacing w:after="200" w:line="288" w:lineRule="auto"/>
        <w:jc w:val="both"/>
      </w:pPr>
      <w:r w:rsidRPr="00C06A12">
        <w:t>Le rapprochement bancaire mensuel est l’opération qui garantit que la comptabilité de Staport reflète fidèlement la réalité de chaque compte bancaire. G-Banque structure cette opération pour chaque banque autour d’un cycle mensuel clair : une période En cours qui accueille les mouvements, une Clôture provisoire qui fige les chiffres en vue d’un contrôle, et une Clôture définitive qui verrouille la période de façon permanente.</w:t>
      </w:r>
    </w:p>
    <w:p w14:paraId="5DF99240" w14:textId="77777777" w:rsidR="001B4C95" w:rsidRPr="00C06A12" w:rsidRDefault="00000000">
      <w:pPr>
        <w:pStyle w:val="Titre2"/>
        <w:spacing w:before="280" w:after="140"/>
        <w:rPr>
          <w:lang w:val="fr-FR"/>
        </w:rPr>
      </w:pPr>
      <w:r w:rsidRPr="00C06A12">
        <w:rPr>
          <w:lang w:val="fr-FR"/>
        </w:rPr>
        <w:t>Ce que le système apporte</w:t>
      </w:r>
    </w:p>
    <w:p w14:paraId="4A6C7C4A"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Ouverture automatique de chaque période</w:t>
      </w:r>
      <w:r w:rsidRPr="00C06A12">
        <w:rPr>
          <w:lang w:val="fr-FR"/>
        </w:rPr>
        <w:t xml:space="preserve"> : dès qu’une banque est créée ou qu’une période est clôturée provisoirement, le mois suivant s’ouvre automatiquement avec le bon solde de départ – aucun report manuel.</w:t>
      </w:r>
    </w:p>
    <w:p w14:paraId="3EE8F0F5"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Calcul continu et fiable</w:t>
      </w:r>
      <w:r w:rsidRPr="00C06A12">
        <w:rPr>
          <w:lang w:val="fr-FR"/>
        </w:rPr>
        <w:t xml:space="preserve"> : solde de fin, total débit, total crédit et TVA due sont toujours calculés à partir des mouvements réels de chaque banque suivie, jamais saisis ni approximés.</w:t>
      </w:r>
    </w:p>
    <w:p w14:paraId="0970CB30"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Cohérence garantie entre périodes</w:t>
      </w:r>
      <w:r w:rsidRPr="00C06A12">
        <w:rPr>
          <w:lang w:val="fr-FR"/>
        </w:rPr>
        <w:t xml:space="preserve"> : toute correction apportée pendant la Clôture provisoire répercute automatiquement le nouveau solde sur la période suivante – aucun décalage de solde ne peut se glisser sans être corrigé.</w:t>
      </w:r>
    </w:p>
    <w:p w14:paraId="472F9E4B"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Verrouillage définitif fiable</w:t>
      </w:r>
      <w:r w:rsidRPr="00C06A12">
        <w:rPr>
          <w:lang w:val="fr-FR"/>
        </w:rPr>
        <w:t xml:space="preserve"> : une fois une période clôturée définitivement (auteur et date historisés), plus aucune modification n’est possible – protège l’intégrité des chiffres remis à la comptabilité ou à l’administration fiscale.</w:t>
      </w:r>
    </w:p>
    <w:p w14:paraId="08D88362"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Rapports prêts à l’emploi, filtrables à la demande</w:t>
      </w:r>
      <w:r w:rsidRPr="00C06A12">
        <w:rPr>
          <w:lang w:val="fr-FR"/>
        </w:rPr>
        <w:t xml:space="preserve"> : un rapport PDF de chaque période est généré en un clic, en version Finance (avec TVA) ou Comptabilité (sans TVA), sans mise en forme manuelle – soit sur l’ensemble de la période, soit restreint aux transactions correspondant aux filtres appliqués par l’équipe Finance, pour ne partager que l’information pertinente.</w:t>
      </w:r>
    </w:p>
    <w:p w14:paraId="7534FBCC"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Couverture</w:t>
      </w:r>
      <w:r w:rsidRPr="00C06A12">
        <w:rPr>
          <w:lang w:val="fr-FR"/>
        </w:rPr>
        <w:t xml:space="preserve"> : l’ensemble des banques suivies dans G-Banque, quel que soit le module d’origine des mouvements qui leur sont rattachés.</w:t>
      </w:r>
    </w:p>
    <w:p w14:paraId="0CACBFF7" w14:textId="77777777" w:rsidR="001B4C95" w:rsidRPr="00C06A12" w:rsidRDefault="00000000">
      <w:pPr>
        <w:spacing w:after="200" w:line="288" w:lineRule="auto"/>
        <w:jc w:val="both"/>
      </w:pPr>
      <w:r w:rsidRPr="00C06A12">
        <w:t>En amont de ce rapprochement mensuel, G-Banque offre à l’équipe Finance un point d’entrée unique pour visualiser et valider l’ensemble des opérations en attente d’une banque, tous types confondus, avant qu’elles n’alimentent le rapprochement.</w:t>
      </w:r>
    </w:p>
    <w:p w14:paraId="5A4D2E23" w14:textId="77777777" w:rsidR="001B4C95" w:rsidRPr="00C06A12" w:rsidRDefault="001B4C95">
      <w:pPr>
        <w:pageBreakBefore/>
      </w:pPr>
    </w:p>
    <w:p w14:paraId="5DEFD286" w14:textId="77777777" w:rsidR="001B4C95" w:rsidRPr="00C06A12" w:rsidRDefault="00000000">
      <w:pPr>
        <w:pStyle w:val="Titre1"/>
        <w:pBdr>
          <w:bottom w:val="single" w:sz="8" w:space="8" w:color="B08D57"/>
        </w:pBdr>
        <w:spacing w:after="240"/>
        <w:rPr>
          <w:lang w:val="fr-FR"/>
        </w:rPr>
      </w:pPr>
      <w:bookmarkStart w:id="28" w:name="chap29"/>
      <w:r w:rsidRPr="00C06A12">
        <w:rPr>
          <w:lang w:val="fr-FR"/>
        </w:rPr>
        <w:t>Chapitre 29 – États des encours et Récapitulatif</w:t>
      </w:r>
      <w:bookmarkEnd w:id="28"/>
    </w:p>
    <w:p w14:paraId="546C4867" w14:textId="77777777" w:rsidR="001B4C95" w:rsidRPr="00C06A12" w:rsidRDefault="00000000">
      <w:pPr>
        <w:pStyle w:val="Titre2"/>
        <w:spacing w:before="280" w:after="140"/>
        <w:rPr>
          <w:lang w:val="fr-FR"/>
        </w:rPr>
      </w:pPr>
      <w:r w:rsidRPr="00C06A12">
        <w:rPr>
          <w:lang w:val="fr-FR"/>
        </w:rPr>
        <w:t>Ce que ce module résout</w:t>
      </w:r>
    </w:p>
    <w:p w14:paraId="59227C92" w14:textId="77777777" w:rsidR="001B4C95" w:rsidRPr="00C06A12" w:rsidRDefault="00000000">
      <w:pPr>
        <w:spacing w:after="200" w:line="288" w:lineRule="auto"/>
        <w:jc w:val="both"/>
      </w:pPr>
      <w:r w:rsidRPr="00C06A12">
        <w:t>Chaque mois, Staport traite des dizaines d’opérations bancaires de nature très différente – échéances de crédit, chèques, virements, LCN, préfinancement, agios, impôts et taxes, et bien d’autres. Avant qu’une opération ne devienne une écriture bancaire officielle, elle doit être vérifiée puis validée contre le relevé réel de la banque. États des encours donne à l’équipe Finance un point d’entrée unique pour voir, filtrer et valider – une par une ou en lot – toutes les opérations en attente d’une banque donnée, quel que soit leur type d’origine.</w:t>
      </w:r>
    </w:p>
    <w:p w14:paraId="1B11CF1F" w14:textId="77777777" w:rsidR="001B4C95" w:rsidRPr="00C06A12" w:rsidRDefault="00000000">
      <w:pPr>
        <w:pStyle w:val="Titre2"/>
        <w:spacing w:before="280" w:after="140"/>
        <w:rPr>
          <w:lang w:val="fr-FR"/>
        </w:rPr>
      </w:pPr>
      <w:r w:rsidRPr="00C06A12">
        <w:rPr>
          <w:lang w:val="fr-FR"/>
        </w:rPr>
        <w:t>Ce que le système apporte</w:t>
      </w:r>
    </w:p>
    <w:p w14:paraId="1543A930"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Vue consolidée en un clic</w:t>
      </w:r>
      <w:r w:rsidRPr="00C06A12">
        <w:rPr>
          <w:lang w:val="fr-FR"/>
        </w:rPr>
        <w:t xml:space="preserve"> : toutes les opérations en attente d’une banque (près de vingt types : crédits leasing et CMT, moyens de paiement, préfinancement, factoring, droits constatés, décomptes, commissions, agios, prélèvements, frais bancaires, impôts et taxes, restitutions, opérations erronées, impayées) réunies dans un tableau unique, filtrable – plus besoin de consultation écran par écran.</w:t>
      </w:r>
    </w:p>
    <w:p w14:paraId="5FBE5081"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Validation en lot fiable</w:t>
      </w:r>
      <w:r w:rsidRPr="00C06A12">
        <w:rPr>
          <w:lang w:val="fr-FR"/>
        </w:rPr>
        <w:t xml:space="preserve"> : plusieurs opérations similaires validées en une seule action, avec un contrôle tout-ou-rien qui élimine tout risque de validation partielle et toute erreur de saisie répétée.</w:t>
      </w:r>
    </w:p>
    <w:p w14:paraId="23235C4D"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Cohérence garantie avec le rapprochement</w:t>
      </w:r>
      <w:r w:rsidRPr="00C06A12">
        <w:rPr>
          <w:lang w:val="fr-FR"/>
        </w:rPr>
        <w:t xml:space="preserve"> : chaque validation alimente automatiquement la bonne période de rapprochement de la banque concernée, sans ressaisie ni erreur d’affectation.</w:t>
      </w:r>
    </w:p>
    <w:p w14:paraId="1E98BDFB"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Rapports prêts à l’emploi</w:t>
      </w:r>
      <w:r w:rsidRPr="00C06A12">
        <w:rPr>
          <w:lang w:val="fr-FR"/>
        </w:rPr>
        <w:t xml:space="preserve"> : récapitulatif global, récapitulatif détaillé par catégorie et projection du solde de fin de mois, générés en PDF à la demande, pour une banque donnée ou pour l’ensemble du groupe.</w:t>
      </w:r>
    </w:p>
    <w:p w14:paraId="64BD0F03"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Visibilité en temps réel</w:t>
      </w:r>
      <w:r w:rsidRPr="00C06A12">
        <w:rPr>
          <w:lang w:val="fr-FR"/>
        </w:rPr>
        <w:t xml:space="preserve"> : à tout moment, projection du solde de fin de mois de chaque banque, sans attendre la clôture de la période – élimine le risque d’opération oubliée parce que noyée dans un écran dédié à un seul type.</w:t>
      </w:r>
    </w:p>
    <w:p w14:paraId="43F5D535" w14:textId="77777777" w:rsidR="001B4C95" w:rsidRPr="00C06A12" w:rsidRDefault="00000000">
      <w:pPr>
        <w:spacing w:after="200" w:line="288" w:lineRule="auto"/>
        <w:jc w:val="both"/>
      </w:pPr>
      <w:r w:rsidRPr="00C06A12">
        <w:t>Enfin, deux fonctions transverses soutiennent l’ensemble de ces modules au quotidien : la traçabilité complète de chaque action via les Logs, et l’information automatique des équipes via les Notifications.</w:t>
      </w:r>
    </w:p>
    <w:p w14:paraId="49013A67" w14:textId="77777777" w:rsidR="001B4C95" w:rsidRPr="00C06A12" w:rsidRDefault="001B4C95">
      <w:pPr>
        <w:pageBreakBefore/>
      </w:pPr>
    </w:p>
    <w:p w14:paraId="4F2A6DB0" w14:textId="77777777" w:rsidR="001B4C95" w:rsidRPr="00C06A12" w:rsidRDefault="00000000">
      <w:pPr>
        <w:pStyle w:val="Titre1"/>
        <w:pBdr>
          <w:bottom w:val="single" w:sz="8" w:space="8" w:color="B08D57"/>
        </w:pBdr>
        <w:spacing w:after="240"/>
        <w:rPr>
          <w:lang w:val="fr-FR"/>
        </w:rPr>
      </w:pPr>
      <w:bookmarkStart w:id="29" w:name="chap30"/>
      <w:r w:rsidRPr="00C06A12">
        <w:rPr>
          <w:lang w:val="fr-FR"/>
        </w:rPr>
        <w:t>Chapitre 30 – Logs</w:t>
      </w:r>
      <w:bookmarkEnd w:id="29"/>
    </w:p>
    <w:p w14:paraId="29BEE4D6" w14:textId="77777777" w:rsidR="001B4C95" w:rsidRPr="00C06A12" w:rsidRDefault="00000000">
      <w:pPr>
        <w:pStyle w:val="Titre2"/>
        <w:spacing w:before="280" w:after="140"/>
        <w:rPr>
          <w:lang w:val="fr-FR"/>
        </w:rPr>
      </w:pPr>
      <w:r w:rsidRPr="00C06A12">
        <w:rPr>
          <w:lang w:val="fr-FR"/>
        </w:rPr>
        <w:t>Ce que ce module résout</w:t>
      </w:r>
    </w:p>
    <w:p w14:paraId="1B5DAECD" w14:textId="5C0DFA49" w:rsidR="001B4C95" w:rsidRPr="00C06A12" w:rsidRDefault="00000000">
      <w:pPr>
        <w:spacing w:after="200" w:line="288" w:lineRule="auto"/>
        <w:jc w:val="both"/>
      </w:pPr>
      <w:r w:rsidRPr="00C06A12">
        <w:t>G-Banque conserve la trace de chaque création, modification et suppression réalisée sur les données financières de Staport, et met cette traçabilité à disposition dans un écran de consultation dédié.</w:t>
      </w:r>
    </w:p>
    <w:p w14:paraId="7407A5C4" w14:textId="77777777" w:rsidR="001B4C95" w:rsidRPr="00C06A12" w:rsidRDefault="00000000">
      <w:pPr>
        <w:pStyle w:val="Titre2"/>
        <w:spacing w:before="280" w:after="140"/>
        <w:rPr>
          <w:lang w:val="fr-FR"/>
        </w:rPr>
      </w:pPr>
      <w:r w:rsidRPr="00C06A12">
        <w:rPr>
          <w:lang w:val="fr-FR"/>
        </w:rPr>
        <w:t>Ce que le système apporte</w:t>
      </w:r>
    </w:p>
    <w:p w14:paraId="646F525A"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Traçabilité complète</w:t>
      </w:r>
      <w:r w:rsidRPr="00C06A12">
        <w:rPr>
          <w:lang w:val="fr-FR"/>
        </w:rPr>
        <w:t xml:space="preserve"> : chaque opération sensible sur une donnée financière est historisée avec son auteur et sa date, sans configuration supplémentaire, sur l’ensemble des modules métier de G-Banque.</w:t>
      </w:r>
    </w:p>
    <w:p w14:paraId="1DB7342B"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Recherche ciblée</w:t>
      </w:r>
      <w:r w:rsidRPr="00C06A12">
        <w:rPr>
          <w:lang w:val="fr-FR"/>
        </w:rPr>
        <w:t xml:space="preserve"> : le journal est consultable par utilisateur, type d’opération, notion métier et période.</w:t>
      </w:r>
    </w:p>
    <w:p w14:paraId="18591790"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Détail avant/après</w:t>
      </w:r>
      <w:r w:rsidRPr="00C06A12">
        <w:rPr>
          <w:lang w:val="fr-FR"/>
        </w:rPr>
        <w:t xml:space="preserve"> : pour toute modification, les valeurs exactes avant et après restent consultables, champ par champ – renforce le contrôle interne et la capacité d’audit de Staport.</w:t>
      </w:r>
    </w:p>
    <w:p w14:paraId="2CE99CCC"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Accès</w:t>
      </w:r>
      <w:r w:rsidRPr="00C06A12">
        <w:rPr>
          <w:lang w:val="fr-FR"/>
        </w:rPr>
        <w:t xml:space="preserve"> : réservé à l’administrateur système.</w:t>
      </w:r>
    </w:p>
    <w:p w14:paraId="1930FB67" w14:textId="77777777" w:rsidR="001B4C95" w:rsidRPr="00C06A12" w:rsidRDefault="001B4C95">
      <w:pPr>
        <w:pageBreakBefore/>
      </w:pPr>
    </w:p>
    <w:p w14:paraId="0729683A" w14:textId="77777777" w:rsidR="001B4C95" w:rsidRPr="00C06A12" w:rsidRDefault="00000000">
      <w:pPr>
        <w:pStyle w:val="Titre1"/>
        <w:pBdr>
          <w:bottom w:val="single" w:sz="8" w:space="8" w:color="B08D57"/>
        </w:pBdr>
        <w:spacing w:after="240"/>
        <w:rPr>
          <w:lang w:val="fr-FR"/>
        </w:rPr>
      </w:pPr>
      <w:bookmarkStart w:id="30" w:name="chap31"/>
      <w:r w:rsidRPr="00C06A12">
        <w:rPr>
          <w:lang w:val="fr-FR"/>
        </w:rPr>
        <w:t>Chapitre 31 – Notifications</w:t>
      </w:r>
      <w:bookmarkEnd w:id="30"/>
    </w:p>
    <w:p w14:paraId="5A902953" w14:textId="77777777" w:rsidR="001B4C95" w:rsidRPr="00C06A12" w:rsidRDefault="00000000">
      <w:pPr>
        <w:pStyle w:val="Titre2"/>
        <w:spacing w:before="280" w:after="140"/>
        <w:rPr>
          <w:lang w:val="fr-FR"/>
        </w:rPr>
      </w:pPr>
      <w:r w:rsidRPr="00C06A12">
        <w:rPr>
          <w:lang w:val="fr-FR"/>
        </w:rPr>
        <w:t>Ce que ce module résout</w:t>
      </w:r>
    </w:p>
    <w:p w14:paraId="678E2E17" w14:textId="77777777" w:rsidR="001B4C95" w:rsidRPr="00C06A12" w:rsidRDefault="00000000">
      <w:pPr>
        <w:spacing w:after="200" w:line="288" w:lineRule="auto"/>
        <w:jc w:val="both"/>
      </w:pPr>
      <w:r w:rsidRPr="00C06A12">
        <w:t>G-Banque tient chaque utilisateur informé, en temps réel et sans action de sa part, des échéances importantes qui approchent (contrats de leasing, crédits moyen terme, lignes fonctionnelles), et permet à l’administration de diffuser une information générale à toute l’équipe en un clic.</w:t>
      </w:r>
    </w:p>
    <w:p w14:paraId="548B197F" w14:textId="77777777" w:rsidR="001B4C95" w:rsidRPr="00C06A12" w:rsidRDefault="00000000">
      <w:pPr>
        <w:pStyle w:val="Titre2"/>
        <w:spacing w:before="280" w:after="140"/>
        <w:rPr>
          <w:lang w:val="fr-FR"/>
        </w:rPr>
      </w:pPr>
      <w:r w:rsidRPr="00C06A12">
        <w:rPr>
          <w:lang w:val="fr-FR"/>
        </w:rPr>
        <w:t>Ce que le système apporte</w:t>
      </w:r>
    </w:p>
    <w:p w14:paraId="775E019D"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Alerte automatique des échéances</w:t>
      </w:r>
      <w:r w:rsidRPr="00C06A12">
        <w:rPr>
          <w:lang w:val="fr-FR"/>
        </w:rPr>
        <w:t xml:space="preserve"> : chaque semaine, les échéances de leasing, crédit moyen terme et lignes fonctionnelles approchant de leur expiration génèrent automatiquement une notification, sans surveillance manuelle – réduit le risque d’oubli sur ces échéances.</w:t>
      </w:r>
    </w:p>
    <w:p w14:paraId="6C70D420"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Diffusion d’information générale</w:t>
      </w:r>
      <w:r w:rsidRPr="00C06A12">
        <w:rPr>
          <w:lang w:val="fr-FR"/>
        </w:rPr>
        <w:t xml:space="preserve"> : l’administration peut informer instantanément tous les utilisateurs connectés d’un message important, avec un historique complet (auteur, date) des diffusions.</w:t>
      </w:r>
    </w:p>
    <w:p w14:paraId="3F86C5A3"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Visibilité immédiate</w:t>
      </w:r>
      <w:r w:rsidRPr="00C06A12">
        <w:rPr>
          <w:lang w:val="fr-FR"/>
        </w:rPr>
        <w:t xml:space="preserve"> : un compteur de notifications non lues, visible en permanence, garantit qu’aucune alerte importante ne passe inaperçue.</w:t>
      </w:r>
    </w:p>
    <w:p w14:paraId="3058DB5A" w14:textId="77777777" w:rsidR="001B4C95" w:rsidRPr="00C06A12" w:rsidRDefault="00000000">
      <w:pPr>
        <w:pStyle w:val="Paragraphedeliste"/>
        <w:numPr>
          <w:ilvl w:val="0"/>
          <w:numId w:val="2"/>
        </w:numPr>
        <w:spacing w:after="120" w:line="276" w:lineRule="auto"/>
        <w:jc w:val="both"/>
        <w:rPr>
          <w:lang w:val="fr-FR"/>
        </w:rPr>
      </w:pPr>
      <w:r w:rsidRPr="00C06A12">
        <w:rPr>
          <w:b/>
          <w:bCs/>
          <w:lang w:val="fr-FR"/>
        </w:rPr>
        <w:t>Accès</w:t>
      </w:r>
      <w:r w:rsidRPr="00C06A12">
        <w:rPr>
          <w:lang w:val="fr-FR"/>
        </w:rPr>
        <w:t xml:space="preserve"> : consultation ouverte à tous les utilisateurs authentifiés ; déclenchement automatique sur Leasing, Crédit Moyen Terme et Lignes Fonctionnelles ; déclenchement manuel réservé à l’administrateur système.</w:t>
      </w:r>
    </w:p>
    <w:p w14:paraId="5BE3DD11" w14:textId="77777777" w:rsidR="001B4C95" w:rsidRPr="00C06A12" w:rsidRDefault="001B4C95">
      <w:pPr>
        <w:pageBreakBefore/>
      </w:pPr>
    </w:p>
    <w:p w14:paraId="4FA4B90E" w14:textId="77777777" w:rsidR="001B4C95" w:rsidRPr="00C06A12" w:rsidRDefault="00000000">
      <w:pPr>
        <w:pStyle w:val="Titre1"/>
        <w:pBdr>
          <w:bottom w:val="single" w:sz="8" w:space="8" w:color="B08D57"/>
        </w:pBdr>
        <w:spacing w:after="240"/>
        <w:rPr>
          <w:lang w:val="fr-FR"/>
        </w:rPr>
      </w:pPr>
      <w:r w:rsidRPr="00C06A12">
        <w:rPr>
          <w:lang w:val="fr-FR"/>
        </w:rPr>
        <w:t>Conclusion</w:t>
      </w:r>
    </w:p>
    <w:p w14:paraId="7D5C2CCB" w14:textId="77777777" w:rsidR="001B4C95" w:rsidRPr="00C06A12" w:rsidRDefault="00000000">
      <w:pPr>
        <w:spacing w:after="200" w:line="288" w:lineRule="auto"/>
        <w:jc w:val="both"/>
      </w:pPr>
      <w:r w:rsidRPr="00C06A12">
        <w:t>À travers ses trente et un modules, G-Banque couvre aujourd'hui l'intégralité du cycle de vie des opérations bancaires de Staport : un socle d'accès sécurisé et traçable, une vue consolidée des comptes bancaires et des produits financiers qui leur sont rattachés, un suivi complet des marchés et de leurs satellites, l'ensemble des moyens de paiement, un historique unifié de chaque transaction, le calcul automatisé des charges appliquées par les banques, la gestion rigoureuse des anomalies, un rapprochement bancaire mensuel fiable, ainsi que des fonctions transverses de traçabilité et de notification.</w:t>
      </w:r>
    </w:p>
    <w:p w14:paraId="542F585D" w14:textId="77777777" w:rsidR="001B4C95" w:rsidRPr="00C06A12" w:rsidRDefault="00000000">
      <w:pPr>
        <w:spacing w:after="200" w:line="288" w:lineRule="auto"/>
        <w:jc w:val="both"/>
      </w:pPr>
      <w:r w:rsidRPr="00C06A12">
        <w:t>Ce que ces modules ont en commun dépasse leurs fonctions respectives : chacun élimine une source de ressaisie manuelle, une source d'erreur, un délai, ou un risque de perte de traçabilité. Pris ensemble, ils donnent à la direction et à l'équipe Finance de Staport une source unique de vérité sur la situation bancaire de l'entreprise, disponible à tout moment et sans consolidation manuelle.</w:t>
      </w:r>
    </w:p>
    <w:p w14:paraId="375DC1ED" w14:textId="77777777" w:rsidR="001B4C95" w:rsidRDefault="00000000">
      <w:pPr>
        <w:spacing w:after="200" w:line="288" w:lineRule="auto"/>
        <w:jc w:val="both"/>
      </w:pPr>
      <w:r w:rsidRPr="00C06A12">
        <w:t>G-Banque continuera d'évoluer avec les besoins de Staport, dans la continuité de cette même exigence : fiabilité des chiffres, traçabilité de chaque action, et autonomie de l'équipe Finance dans la gestion quotidienne des opérations bancaires.</w:t>
      </w:r>
    </w:p>
    <w:sectPr w:rsidR="001B4C95">
      <w:headerReference w:type="default" r:id="rId7"/>
      <w:footerReference w:type="default" r:id="rId8"/>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03CC3" w14:textId="77777777" w:rsidR="00070B63" w:rsidRPr="00C06A12" w:rsidRDefault="00070B63">
      <w:r w:rsidRPr="00C06A12">
        <w:separator/>
      </w:r>
    </w:p>
  </w:endnote>
  <w:endnote w:type="continuationSeparator" w:id="0">
    <w:p w14:paraId="44D5A2AE" w14:textId="77777777" w:rsidR="00070B63" w:rsidRPr="00C06A12" w:rsidRDefault="00070B63">
      <w:r w:rsidRPr="00C06A1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6CA21" w14:textId="77777777" w:rsidR="001B4C95" w:rsidRPr="00C06A12" w:rsidRDefault="00000000">
    <w:pPr>
      <w:jc w:val="center"/>
    </w:pPr>
    <w:r w:rsidRPr="00C06A12">
      <w:rPr>
        <w:color w:val="595959"/>
        <w:sz w:val="16"/>
        <w:szCs w:val="16"/>
      </w:rPr>
      <w:t>Staport — Document confidentiel</w:t>
    </w:r>
    <w:r w:rsidRPr="00C06A12">
      <w:rPr>
        <w:sz w:val="16"/>
        <w:szCs w:val="16"/>
      </w:rPr>
      <w:tab/>
    </w:r>
    <w:r w:rsidRPr="00C06A12">
      <w:rPr>
        <w:sz w:val="16"/>
        <w:szCs w:val="16"/>
      </w:rPr>
      <w:tab/>
    </w:r>
    <w:r w:rsidRPr="00C06A12">
      <w:rPr>
        <w:color w:val="595959"/>
        <w:sz w:val="16"/>
        <w:szCs w:val="16"/>
      </w:rPr>
      <w:fldChar w:fldCharType="begin"/>
    </w:r>
    <w:r w:rsidRPr="00C06A12">
      <w:rPr>
        <w:color w:val="595959"/>
        <w:sz w:val="16"/>
        <w:szCs w:val="16"/>
      </w:rPr>
      <w:instrText>PAGE</w:instrText>
    </w:r>
    <w:r w:rsidRPr="00C06A12">
      <w:rPr>
        <w:color w:val="595959"/>
        <w:sz w:val="16"/>
        <w:szCs w:val="16"/>
      </w:rPr>
      <w:fldChar w:fldCharType="separate"/>
    </w:r>
    <w:r w:rsidR="004346C7" w:rsidRPr="00C06A12">
      <w:rPr>
        <w:color w:val="595959"/>
        <w:sz w:val="16"/>
        <w:szCs w:val="16"/>
      </w:rPr>
      <w:t>2</w:t>
    </w:r>
    <w:r w:rsidRPr="00C06A12">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C22B9" w14:textId="77777777" w:rsidR="00070B63" w:rsidRPr="00C06A12" w:rsidRDefault="00070B63">
      <w:r w:rsidRPr="00C06A12">
        <w:separator/>
      </w:r>
    </w:p>
  </w:footnote>
  <w:footnote w:type="continuationSeparator" w:id="0">
    <w:p w14:paraId="60E25FE6" w14:textId="77777777" w:rsidR="00070B63" w:rsidRPr="00C06A12" w:rsidRDefault="00070B63">
      <w:r w:rsidRPr="00C06A1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2D970" w14:textId="77777777" w:rsidR="001B4C95" w:rsidRPr="00C06A12" w:rsidRDefault="00000000">
    <w:pPr>
      <w:pBdr>
        <w:bottom w:val="single" w:sz="4" w:space="4" w:color="D9D9D9"/>
      </w:pBdr>
      <w:jc w:val="right"/>
    </w:pPr>
    <w:r w:rsidRPr="00C06A12">
      <w:rPr>
        <w:color w:val="595959"/>
        <w:sz w:val="16"/>
        <w:szCs w:val="16"/>
      </w:rPr>
      <w:t>G-Banque — Synthèse Direction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1C8"/>
    <w:multiLevelType w:val="hybridMultilevel"/>
    <w:tmpl w:val="9EE676E8"/>
    <w:lvl w:ilvl="0" w:tplc="290AD490">
      <w:start w:val="1"/>
      <w:numFmt w:val="bullet"/>
      <w:lvlText w:val="•"/>
      <w:lvlJc w:val="left"/>
      <w:pPr>
        <w:ind w:left="504" w:hanging="288"/>
      </w:pPr>
    </w:lvl>
    <w:lvl w:ilvl="1" w:tplc="55889F52">
      <w:numFmt w:val="decimal"/>
      <w:lvlText w:val=""/>
      <w:lvlJc w:val="left"/>
    </w:lvl>
    <w:lvl w:ilvl="2" w:tplc="91943EBE">
      <w:numFmt w:val="decimal"/>
      <w:lvlText w:val=""/>
      <w:lvlJc w:val="left"/>
    </w:lvl>
    <w:lvl w:ilvl="3" w:tplc="5A061A18">
      <w:numFmt w:val="decimal"/>
      <w:lvlText w:val=""/>
      <w:lvlJc w:val="left"/>
    </w:lvl>
    <w:lvl w:ilvl="4" w:tplc="865CF976">
      <w:numFmt w:val="decimal"/>
      <w:lvlText w:val=""/>
      <w:lvlJc w:val="left"/>
    </w:lvl>
    <w:lvl w:ilvl="5" w:tplc="C8D64B78">
      <w:numFmt w:val="decimal"/>
      <w:lvlText w:val=""/>
      <w:lvlJc w:val="left"/>
    </w:lvl>
    <w:lvl w:ilvl="6" w:tplc="89CA92F8">
      <w:numFmt w:val="decimal"/>
      <w:lvlText w:val=""/>
      <w:lvlJc w:val="left"/>
    </w:lvl>
    <w:lvl w:ilvl="7" w:tplc="B5C84472">
      <w:numFmt w:val="decimal"/>
      <w:lvlText w:val=""/>
      <w:lvlJc w:val="left"/>
    </w:lvl>
    <w:lvl w:ilvl="8" w:tplc="2BDC0C66">
      <w:numFmt w:val="decimal"/>
      <w:lvlText w:val=""/>
      <w:lvlJc w:val="left"/>
    </w:lvl>
  </w:abstractNum>
  <w:abstractNum w:abstractNumId="1" w15:restartNumberingAfterBreak="0">
    <w:nsid w:val="7E153F61"/>
    <w:multiLevelType w:val="hybridMultilevel"/>
    <w:tmpl w:val="042C841E"/>
    <w:lvl w:ilvl="0" w:tplc="D230171A">
      <w:start w:val="1"/>
      <w:numFmt w:val="bullet"/>
      <w:lvlText w:val="●"/>
      <w:lvlJc w:val="left"/>
      <w:pPr>
        <w:ind w:left="720" w:hanging="360"/>
      </w:pPr>
    </w:lvl>
    <w:lvl w:ilvl="1" w:tplc="9110A524">
      <w:start w:val="1"/>
      <w:numFmt w:val="bullet"/>
      <w:lvlText w:val="○"/>
      <w:lvlJc w:val="left"/>
      <w:pPr>
        <w:ind w:left="1440" w:hanging="360"/>
      </w:pPr>
    </w:lvl>
    <w:lvl w:ilvl="2" w:tplc="C67CF6A2">
      <w:start w:val="1"/>
      <w:numFmt w:val="bullet"/>
      <w:lvlText w:val="■"/>
      <w:lvlJc w:val="left"/>
      <w:pPr>
        <w:ind w:left="2160" w:hanging="360"/>
      </w:pPr>
    </w:lvl>
    <w:lvl w:ilvl="3" w:tplc="3162E932">
      <w:start w:val="1"/>
      <w:numFmt w:val="bullet"/>
      <w:lvlText w:val="●"/>
      <w:lvlJc w:val="left"/>
      <w:pPr>
        <w:ind w:left="2880" w:hanging="360"/>
      </w:pPr>
    </w:lvl>
    <w:lvl w:ilvl="4" w:tplc="C894821E">
      <w:start w:val="1"/>
      <w:numFmt w:val="bullet"/>
      <w:lvlText w:val="○"/>
      <w:lvlJc w:val="left"/>
      <w:pPr>
        <w:ind w:left="3600" w:hanging="360"/>
      </w:pPr>
    </w:lvl>
    <w:lvl w:ilvl="5" w:tplc="2FF065A4">
      <w:start w:val="1"/>
      <w:numFmt w:val="bullet"/>
      <w:lvlText w:val="■"/>
      <w:lvlJc w:val="left"/>
      <w:pPr>
        <w:ind w:left="4320" w:hanging="360"/>
      </w:pPr>
    </w:lvl>
    <w:lvl w:ilvl="6" w:tplc="C19AA32C">
      <w:start w:val="1"/>
      <w:numFmt w:val="bullet"/>
      <w:lvlText w:val="●"/>
      <w:lvlJc w:val="left"/>
      <w:pPr>
        <w:ind w:left="5040" w:hanging="360"/>
      </w:pPr>
    </w:lvl>
    <w:lvl w:ilvl="7" w:tplc="559E1462">
      <w:start w:val="1"/>
      <w:numFmt w:val="bullet"/>
      <w:lvlText w:val="●"/>
      <w:lvlJc w:val="left"/>
      <w:pPr>
        <w:ind w:left="5760" w:hanging="360"/>
      </w:pPr>
    </w:lvl>
    <w:lvl w:ilvl="8" w:tplc="46F0E090">
      <w:start w:val="1"/>
      <w:numFmt w:val="bullet"/>
      <w:lvlText w:val="●"/>
      <w:lvlJc w:val="left"/>
      <w:pPr>
        <w:ind w:left="6480" w:hanging="360"/>
      </w:pPr>
    </w:lvl>
  </w:abstractNum>
  <w:num w:numId="1" w16cid:durableId="1356080207">
    <w:abstractNumId w:val="1"/>
    <w:lvlOverride w:ilvl="0">
      <w:startOverride w:val="1"/>
    </w:lvlOverride>
  </w:num>
  <w:num w:numId="2" w16cid:durableId="12439482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C95"/>
    <w:rsid w:val="00070B63"/>
    <w:rsid w:val="001B4C95"/>
    <w:rsid w:val="004346C7"/>
    <w:rsid w:val="008835B2"/>
    <w:rsid w:val="00C06A12"/>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2DD55"/>
  <w15:docId w15:val="{C2C553BC-5402-43D3-9C9A-6D199B470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MA" w:eastAsia="f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uiPriority w:val="9"/>
    <w:qFormat/>
    <w:pPr>
      <w:spacing w:after="200"/>
      <w:outlineLvl w:val="0"/>
    </w:pPr>
    <w:rPr>
      <w:b/>
      <w:bCs/>
      <w:color w:val="1F3864"/>
      <w:sz w:val="30"/>
      <w:szCs w:val="30"/>
    </w:rPr>
  </w:style>
  <w:style w:type="paragraph" w:styleId="Titre2">
    <w:name w:val="heading 2"/>
    <w:uiPriority w:val="9"/>
    <w:unhideWhenUsed/>
    <w:qFormat/>
    <w:pPr>
      <w:spacing w:before="240" w:after="120"/>
      <w:outlineLvl w:val="1"/>
    </w:pPr>
    <w:rPr>
      <w:b/>
      <w:bCs/>
      <w:color w:val="2E5395"/>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39</Pages>
  <Words>7795</Words>
  <Characters>42873</Characters>
  <Application>Microsoft Office Word</Application>
  <DocSecurity>0</DocSecurity>
  <Lines>357</Lines>
  <Paragraphs>101</Paragraphs>
  <ScaleCrop>false</ScaleCrop>
  <Company/>
  <LinksUpToDate>false</LinksUpToDate>
  <CharactersWithSpaces>50567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hmayda@gmail.com</cp:lastModifiedBy>
  <cp:revision>3</cp:revision>
  <dcterms:created xsi:type="dcterms:W3CDTF">2026-07-23T15:40:00Z</dcterms:created>
  <dcterms:modified xsi:type="dcterms:W3CDTF">2026-07-23T15:48:00Z</dcterms:modified>
</cp:coreProperties>
</file>