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A57B" w14:textId="6D0F895E" w:rsidR="00AB6384" w:rsidRPr="00730B95" w:rsidRDefault="00AB6384" w:rsidP="00AB638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0B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Global Center for Art Historians</w:t>
      </w:r>
      <w:r w:rsidR="007A6050" w:rsidRPr="00730B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Collection Development Policy</w:t>
      </w:r>
    </w:p>
    <w:p w14:paraId="0815C63A" w14:textId="466241E9" w:rsidR="007A6050" w:rsidRDefault="007A6050" w:rsidP="00AB6384">
      <w:pPr>
        <w:jc w:val="center"/>
        <w:rPr>
          <w:rFonts w:ascii="Times New Roman" w:hAnsi="Times New Roman" w:cs="Times New Roman"/>
        </w:rPr>
      </w:pPr>
    </w:p>
    <w:p w14:paraId="4287733E" w14:textId="4942BB68" w:rsidR="007A6050" w:rsidRPr="00B22982" w:rsidRDefault="00785965" w:rsidP="00785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22982">
        <w:rPr>
          <w:rFonts w:ascii="Times New Roman" w:hAnsi="Times New Roman" w:cs="Times New Roman"/>
          <w:u w:val="single"/>
        </w:rPr>
        <w:t>Mission Statement</w:t>
      </w:r>
    </w:p>
    <w:p w14:paraId="5D36430D" w14:textId="3EFC4D73" w:rsidR="00D30666" w:rsidRPr="00D30666" w:rsidRDefault="0064236E" w:rsidP="00D306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mission of the Global Center for Art Historians (</w:t>
      </w:r>
      <w:r w:rsidR="001435E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CAH)</w:t>
      </w:r>
      <w:r w:rsidR="00E650B7">
        <w:rPr>
          <w:rFonts w:ascii="Times New Roman" w:hAnsi="Times New Roman" w:cs="Times New Roman"/>
        </w:rPr>
        <w:t xml:space="preserve"> is to provide bona fide researchers and art history students around the </w:t>
      </w:r>
      <w:r w:rsidR="004F53C2">
        <w:rPr>
          <w:rFonts w:ascii="Times New Roman" w:hAnsi="Times New Roman" w:cs="Times New Roman"/>
        </w:rPr>
        <w:t xml:space="preserve">world with hands-on access to </w:t>
      </w:r>
      <w:r w:rsidR="003374CF">
        <w:rPr>
          <w:rFonts w:ascii="Times New Roman" w:hAnsi="Times New Roman" w:cs="Times New Roman"/>
        </w:rPr>
        <w:t xml:space="preserve">paintings, illustrations, artist notebooks, sculptures, rare books, and the like.  Our </w:t>
      </w:r>
      <w:r w:rsidR="007360EF">
        <w:rPr>
          <w:rFonts w:ascii="Times New Roman" w:hAnsi="Times New Roman" w:cs="Times New Roman"/>
        </w:rPr>
        <w:t xml:space="preserve">15 global locations provide each continent </w:t>
      </w:r>
      <w:r w:rsidR="005005C7">
        <w:rPr>
          <w:rFonts w:ascii="Times New Roman" w:hAnsi="Times New Roman" w:cs="Times New Roman"/>
        </w:rPr>
        <w:t xml:space="preserve">(barring Antarctica) </w:t>
      </w:r>
      <w:r w:rsidR="007360EF">
        <w:rPr>
          <w:rFonts w:ascii="Times New Roman" w:hAnsi="Times New Roman" w:cs="Times New Roman"/>
        </w:rPr>
        <w:t>with</w:t>
      </w:r>
      <w:r w:rsidR="00E9600C">
        <w:rPr>
          <w:rFonts w:ascii="Times New Roman" w:hAnsi="Times New Roman" w:cs="Times New Roman"/>
        </w:rPr>
        <w:t xml:space="preserve"> a central repository</w:t>
      </w:r>
      <w:r w:rsidR="0023753C">
        <w:rPr>
          <w:rFonts w:ascii="Times New Roman" w:hAnsi="Times New Roman" w:cs="Times New Roman"/>
        </w:rPr>
        <w:t xml:space="preserve"> </w:t>
      </w:r>
      <w:r w:rsidR="00540E2B">
        <w:rPr>
          <w:rFonts w:ascii="Times New Roman" w:hAnsi="Times New Roman" w:cs="Times New Roman"/>
        </w:rPr>
        <w:t>for the visitation of art historians conducting research involving each particular location.</w:t>
      </w:r>
      <w:r w:rsidR="005005C7">
        <w:rPr>
          <w:rFonts w:ascii="Times New Roman" w:hAnsi="Times New Roman" w:cs="Times New Roman"/>
        </w:rPr>
        <w:t xml:space="preserve"> We aim to </w:t>
      </w:r>
      <w:r w:rsidR="008C7AE6">
        <w:rPr>
          <w:rFonts w:ascii="Times New Roman" w:hAnsi="Times New Roman" w:cs="Times New Roman"/>
        </w:rPr>
        <w:t>preserve and promote the preservation of history, culture, and ar</w:t>
      </w:r>
      <w:r w:rsidR="00EE4C9F">
        <w:rPr>
          <w:rFonts w:ascii="Times New Roman" w:hAnsi="Times New Roman" w:cs="Times New Roman"/>
        </w:rPr>
        <w:t>t, and recognize the importance of people and places.</w:t>
      </w:r>
      <w:r w:rsidR="00474D42">
        <w:rPr>
          <w:rFonts w:ascii="Times New Roman" w:hAnsi="Times New Roman" w:cs="Times New Roman"/>
        </w:rPr>
        <w:t xml:space="preserve"> At GCAH, we believe research and a dedication to education should be at the forefront of every society.</w:t>
      </w:r>
    </w:p>
    <w:p w14:paraId="77A50BB7" w14:textId="5CD23252" w:rsidR="00676330" w:rsidRDefault="00676330" w:rsidP="006423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</w:t>
      </w:r>
    </w:p>
    <w:p w14:paraId="06E16AEE" w14:textId="2B9D6C6C" w:rsidR="00676330" w:rsidRDefault="00676330" w:rsidP="006763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ho</w:t>
      </w:r>
      <w:r w:rsidR="00B3485A">
        <w:rPr>
          <w:rFonts w:ascii="Times New Roman" w:hAnsi="Times New Roman" w:cs="Times New Roman"/>
        </w:rPr>
        <w:t>ldings vary depending on location.</w:t>
      </w:r>
      <w:r w:rsidR="007079BB">
        <w:rPr>
          <w:rFonts w:ascii="Times New Roman" w:hAnsi="Times New Roman" w:cs="Times New Roman"/>
        </w:rPr>
        <w:t xml:space="preserve"> The 15 </w:t>
      </w:r>
      <w:r w:rsidR="001435E0">
        <w:rPr>
          <w:rFonts w:ascii="Times New Roman" w:hAnsi="Times New Roman" w:cs="Times New Roman"/>
        </w:rPr>
        <w:t>G</w:t>
      </w:r>
      <w:r w:rsidR="007079BB">
        <w:rPr>
          <w:rFonts w:ascii="Times New Roman" w:hAnsi="Times New Roman" w:cs="Times New Roman"/>
        </w:rPr>
        <w:t>CAH repositories correspond to the history of the surrounding area in which they reside.</w:t>
      </w:r>
      <w:r w:rsidR="00812D76">
        <w:rPr>
          <w:rFonts w:ascii="Times New Roman" w:hAnsi="Times New Roman" w:cs="Times New Roman"/>
        </w:rPr>
        <w:t xml:space="preserve"> </w:t>
      </w:r>
    </w:p>
    <w:p w14:paraId="027B6B36" w14:textId="228698B9" w:rsidR="00676330" w:rsidRDefault="007F6012" w:rsidP="006763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676330">
        <w:rPr>
          <w:rFonts w:ascii="Times New Roman" w:hAnsi="Times New Roman" w:cs="Times New Roman"/>
        </w:rPr>
        <w:t>olding</w:t>
      </w:r>
      <w:r>
        <w:rPr>
          <w:rFonts w:ascii="Times New Roman" w:hAnsi="Times New Roman" w:cs="Times New Roman"/>
        </w:rPr>
        <w:t xml:space="preserve"> circulations </w:t>
      </w:r>
      <w:r w:rsidR="00E650B7">
        <w:rPr>
          <w:rFonts w:ascii="Times New Roman" w:hAnsi="Times New Roman" w:cs="Times New Roman"/>
        </w:rPr>
        <w:t xml:space="preserve">can </w:t>
      </w:r>
      <w:r w:rsidR="00676330">
        <w:rPr>
          <w:rFonts w:ascii="Times New Roman" w:hAnsi="Times New Roman" w:cs="Times New Roman"/>
        </w:rPr>
        <w:t>include</w:t>
      </w:r>
      <w:r w:rsidR="00E650B7">
        <w:rPr>
          <w:rFonts w:ascii="Times New Roman" w:hAnsi="Times New Roman" w:cs="Times New Roman"/>
        </w:rPr>
        <w:t>, but are not limited to</w:t>
      </w:r>
      <w:r w:rsidR="001266E6">
        <w:rPr>
          <w:rFonts w:ascii="Times New Roman" w:hAnsi="Times New Roman" w:cs="Times New Roman"/>
        </w:rPr>
        <w:t xml:space="preserve">; </w:t>
      </w:r>
      <w:r w:rsidR="005765FB">
        <w:rPr>
          <w:rFonts w:ascii="Times New Roman" w:hAnsi="Times New Roman" w:cs="Times New Roman"/>
        </w:rPr>
        <w:t xml:space="preserve">paintings (watercolor, oil, acrylic, etc.), illustrations (ink, pastel, graphite, charcoal, etc.), sculpture (particular </w:t>
      </w:r>
      <w:r w:rsidR="00A03A6D">
        <w:rPr>
          <w:rFonts w:ascii="Times New Roman" w:hAnsi="Times New Roman" w:cs="Times New Roman"/>
        </w:rPr>
        <w:t xml:space="preserve">focus on </w:t>
      </w:r>
      <w:r w:rsidR="005765FB">
        <w:rPr>
          <w:rFonts w:ascii="Times New Roman" w:hAnsi="Times New Roman" w:cs="Times New Roman"/>
        </w:rPr>
        <w:t>limestone</w:t>
      </w:r>
      <w:r w:rsidR="00A03A6D">
        <w:rPr>
          <w:rFonts w:ascii="Times New Roman" w:hAnsi="Times New Roman" w:cs="Times New Roman"/>
        </w:rPr>
        <w:t xml:space="preserve"> and granite), books (original artist notebooks and books published by artists)</w:t>
      </w:r>
      <w:r w:rsidR="00F35061">
        <w:rPr>
          <w:rFonts w:ascii="Times New Roman" w:hAnsi="Times New Roman" w:cs="Times New Roman"/>
        </w:rPr>
        <w:t xml:space="preserve">, </w:t>
      </w:r>
      <w:r w:rsidR="00D30666">
        <w:rPr>
          <w:rFonts w:ascii="Times New Roman" w:hAnsi="Times New Roman" w:cs="Times New Roman"/>
        </w:rPr>
        <w:t xml:space="preserve">and </w:t>
      </w:r>
      <w:r w:rsidR="00F35061">
        <w:rPr>
          <w:rFonts w:ascii="Times New Roman" w:hAnsi="Times New Roman" w:cs="Times New Roman"/>
        </w:rPr>
        <w:t>inventions (prototypes</w:t>
      </w:r>
      <w:r>
        <w:rPr>
          <w:rFonts w:ascii="Times New Roman" w:hAnsi="Times New Roman" w:cs="Times New Roman"/>
        </w:rPr>
        <w:t xml:space="preserve"> and</w:t>
      </w:r>
      <w:r w:rsidR="00F35061">
        <w:rPr>
          <w:rFonts w:ascii="Times New Roman" w:hAnsi="Times New Roman" w:cs="Times New Roman"/>
        </w:rPr>
        <w:t xml:space="preserve"> mock-ups</w:t>
      </w:r>
      <w:r>
        <w:rPr>
          <w:rFonts w:ascii="Times New Roman" w:hAnsi="Times New Roman" w:cs="Times New Roman"/>
        </w:rPr>
        <w:t>).</w:t>
      </w:r>
    </w:p>
    <w:p w14:paraId="201C63F1" w14:textId="1CD5E7D6" w:rsidR="00785965" w:rsidRPr="00B22982" w:rsidRDefault="00785965" w:rsidP="00785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22982">
        <w:rPr>
          <w:rFonts w:ascii="Times New Roman" w:hAnsi="Times New Roman" w:cs="Times New Roman"/>
          <w:u w:val="single"/>
        </w:rPr>
        <w:t>Background Statement</w:t>
      </w:r>
    </w:p>
    <w:p w14:paraId="55A040D8" w14:textId="0E257179" w:rsidR="00404FEA" w:rsidRPr="00404FEA" w:rsidRDefault="0064236E" w:rsidP="00404F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136A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CAH serves</w:t>
      </w:r>
      <w:r w:rsidR="0013654A">
        <w:rPr>
          <w:rFonts w:ascii="Times New Roman" w:hAnsi="Times New Roman" w:cs="Times New Roman"/>
        </w:rPr>
        <w:t xml:space="preserve"> art historians in whichever phase of their </w:t>
      </w:r>
      <w:r w:rsidR="00E006EB">
        <w:rPr>
          <w:rFonts w:ascii="Times New Roman" w:hAnsi="Times New Roman" w:cs="Times New Roman"/>
        </w:rPr>
        <w:t>educational</w:t>
      </w:r>
      <w:r w:rsidR="0013654A">
        <w:rPr>
          <w:rFonts w:ascii="Times New Roman" w:hAnsi="Times New Roman" w:cs="Times New Roman"/>
        </w:rPr>
        <w:t xml:space="preserve"> and career journey they occupy.  From budding art intrigues</w:t>
      </w:r>
      <w:r w:rsidR="001435E0">
        <w:rPr>
          <w:rFonts w:ascii="Times New Roman" w:hAnsi="Times New Roman" w:cs="Times New Roman"/>
        </w:rPr>
        <w:t xml:space="preserve"> to seasoned historians, the GCAH</w:t>
      </w:r>
      <w:r w:rsidR="00EA1897">
        <w:rPr>
          <w:rFonts w:ascii="Times New Roman" w:hAnsi="Times New Roman" w:cs="Times New Roman"/>
        </w:rPr>
        <w:t xml:space="preserve"> provides an in-person experience </w:t>
      </w:r>
      <w:r w:rsidR="002D3872">
        <w:rPr>
          <w:rFonts w:ascii="Times New Roman" w:hAnsi="Times New Roman" w:cs="Times New Roman"/>
        </w:rPr>
        <w:t>to foster education</w:t>
      </w:r>
      <w:r w:rsidR="006D346F">
        <w:rPr>
          <w:rFonts w:ascii="Times New Roman" w:hAnsi="Times New Roman" w:cs="Times New Roman"/>
        </w:rPr>
        <w:t xml:space="preserve">, </w:t>
      </w:r>
      <w:r w:rsidR="00474D42">
        <w:rPr>
          <w:rFonts w:ascii="Times New Roman" w:hAnsi="Times New Roman" w:cs="Times New Roman"/>
        </w:rPr>
        <w:t>promote research</w:t>
      </w:r>
      <w:r w:rsidR="006D346F">
        <w:rPr>
          <w:rFonts w:ascii="Times New Roman" w:hAnsi="Times New Roman" w:cs="Times New Roman"/>
        </w:rPr>
        <w:t>, and maintain</w:t>
      </w:r>
      <w:r w:rsidR="00EA24C9">
        <w:rPr>
          <w:rFonts w:ascii="Times New Roman" w:hAnsi="Times New Roman" w:cs="Times New Roman"/>
        </w:rPr>
        <w:t xml:space="preserve"> stimuli</w:t>
      </w:r>
      <w:r w:rsidR="00474D42">
        <w:rPr>
          <w:rFonts w:ascii="Times New Roman" w:hAnsi="Times New Roman" w:cs="Times New Roman"/>
        </w:rPr>
        <w:t>.</w:t>
      </w:r>
      <w:r w:rsidR="00D36256">
        <w:rPr>
          <w:rFonts w:ascii="Times New Roman" w:hAnsi="Times New Roman" w:cs="Times New Roman"/>
        </w:rPr>
        <w:t xml:space="preserve"> Since each GCAH location pertains to the city/country in which it is situated, researchers intending to access materials f</w:t>
      </w:r>
      <w:r w:rsidR="00DE0A65">
        <w:rPr>
          <w:rFonts w:ascii="Times New Roman" w:hAnsi="Times New Roman" w:cs="Times New Roman"/>
        </w:rPr>
        <w:t>rom</w:t>
      </w:r>
      <w:r w:rsidR="00D36256">
        <w:rPr>
          <w:rFonts w:ascii="Times New Roman" w:hAnsi="Times New Roman" w:cs="Times New Roman"/>
        </w:rPr>
        <w:t xml:space="preserve"> a different location</w:t>
      </w:r>
      <w:r w:rsidR="00DE0A65">
        <w:rPr>
          <w:rFonts w:ascii="Times New Roman" w:hAnsi="Times New Roman" w:cs="Times New Roman"/>
        </w:rPr>
        <w:t xml:space="preserve">, and specifically those who cannot afford to travel to see certain documents that </w:t>
      </w:r>
      <w:r w:rsidR="007B6967">
        <w:rPr>
          <w:rFonts w:ascii="Times New Roman" w:hAnsi="Times New Roman" w:cs="Times New Roman"/>
        </w:rPr>
        <w:t>pertain to their research</w:t>
      </w:r>
      <w:r w:rsidR="003346F7">
        <w:rPr>
          <w:rFonts w:ascii="Times New Roman" w:hAnsi="Times New Roman" w:cs="Times New Roman"/>
        </w:rPr>
        <w:t>,</w:t>
      </w:r>
      <w:r w:rsidR="00D36256">
        <w:rPr>
          <w:rFonts w:ascii="Times New Roman" w:hAnsi="Times New Roman" w:cs="Times New Roman"/>
        </w:rPr>
        <w:t xml:space="preserve"> can apply for the Global Travel Grant provided by the GCAH, outlined in Section VI.</w:t>
      </w:r>
      <w:r w:rsidR="00E21ACE">
        <w:rPr>
          <w:rFonts w:ascii="Times New Roman" w:hAnsi="Times New Roman" w:cs="Times New Roman"/>
        </w:rPr>
        <w:t xml:space="preserve"> Photos of </w:t>
      </w:r>
      <w:r w:rsidR="00397F2D">
        <w:rPr>
          <w:rFonts w:ascii="Times New Roman" w:hAnsi="Times New Roman" w:cs="Times New Roman"/>
        </w:rPr>
        <w:t>certain objects in specified collections are available upon written request.</w:t>
      </w:r>
    </w:p>
    <w:p w14:paraId="552BB024" w14:textId="6129B7CC" w:rsidR="00941442" w:rsidRPr="00B22982" w:rsidRDefault="00941442" w:rsidP="00785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22982">
        <w:rPr>
          <w:rFonts w:ascii="Times New Roman" w:hAnsi="Times New Roman" w:cs="Times New Roman"/>
          <w:u w:val="single"/>
        </w:rPr>
        <w:t>Acquisition Policy</w:t>
      </w:r>
    </w:p>
    <w:p w14:paraId="64A985B7" w14:textId="40B89AA6" w:rsidR="000E479D" w:rsidRDefault="003E0DF7" w:rsidP="000E47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place funds </w:t>
      </w:r>
      <w:r w:rsidR="00C5119A">
        <w:rPr>
          <w:rFonts w:ascii="Times New Roman" w:hAnsi="Times New Roman" w:cs="Times New Roman"/>
        </w:rPr>
        <w:t xml:space="preserve">in accordance with the </w:t>
      </w:r>
      <w:r w:rsidR="001435E0">
        <w:rPr>
          <w:rFonts w:ascii="Times New Roman" w:hAnsi="Times New Roman" w:cs="Times New Roman"/>
        </w:rPr>
        <w:t>G</w:t>
      </w:r>
      <w:r w:rsidR="00C5119A">
        <w:rPr>
          <w:rFonts w:ascii="Times New Roman" w:hAnsi="Times New Roman" w:cs="Times New Roman"/>
        </w:rPr>
        <w:t xml:space="preserve">CAH mission, the </w:t>
      </w:r>
      <w:r w:rsidR="001435E0">
        <w:rPr>
          <w:rFonts w:ascii="Times New Roman" w:hAnsi="Times New Roman" w:cs="Times New Roman"/>
        </w:rPr>
        <w:t>G</w:t>
      </w:r>
      <w:r w:rsidR="00C5119A">
        <w:rPr>
          <w:rFonts w:ascii="Times New Roman" w:hAnsi="Times New Roman" w:cs="Times New Roman"/>
        </w:rPr>
        <w:t xml:space="preserve">CAH </w:t>
      </w:r>
      <w:r w:rsidR="00FC44B5">
        <w:rPr>
          <w:rFonts w:ascii="Times New Roman" w:hAnsi="Times New Roman" w:cs="Times New Roman"/>
        </w:rPr>
        <w:t>limits efforts of digitization and prioritizes non-digital formats.</w:t>
      </w:r>
      <w:r w:rsidR="004B54AF">
        <w:rPr>
          <w:rFonts w:ascii="Times New Roman" w:hAnsi="Times New Roman" w:cs="Times New Roman"/>
        </w:rPr>
        <w:t xml:space="preserve"> </w:t>
      </w:r>
    </w:p>
    <w:p w14:paraId="28E60930" w14:textId="7A040BA1" w:rsidR="004B48E1" w:rsidRDefault="004B48E1" w:rsidP="000E47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Criteria</w:t>
      </w:r>
    </w:p>
    <w:p w14:paraId="083F0ACB" w14:textId="68E8FDCA" w:rsidR="004B48E1" w:rsidRDefault="00F71823" w:rsidP="004B48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material must </w:t>
      </w:r>
      <w:r w:rsidR="00085B0F">
        <w:rPr>
          <w:rFonts w:ascii="Times New Roman" w:hAnsi="Times New Roman" w:cs="Times New Roman"/>
        </w:rPr>
        <w:t>contain art-historical significance that corresponds to the</w:t>
      </w:r>
      <w:r w:rsidR="00476655">
        <w:rPr>
          <w:rFonts w:ascii="Times New Roman" w:hAnsi="Times New Roman" w:cs="Times New Roman"/>
        </w:rPr>
        <w:t xml:space="preserve"> specific</w:t>
      </w:r>
      <w:r w:rsidR="00085B0F">
        <w:rPr>
          <w:rFonts w:ascii="Times New Roman" w:hAnsi="Times New Roman" w:cs="Times New Roman"/>
        </w:rPr>
        <w:t xml:space="preserve"> GCAH location</w:t>
      </w:r>
    </w:p>
    <w:p w14:paraId="3988ABE2" w14:textId="1607BAB9" w:rsidR="00120B25" w:rsidRDefault="00120B25" w:rsidP="004B48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material must prove strong academic research quality</w:t>
      </w:r>
    </w:p>
    <w:p w14:paraId="41930B45" w14:textId="7653E7CD" w:rsidR="00FE6B5D" w:rsidRDefault="00FE6B5D" w:rsidP="004B48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material should </w:t>
      </w:r>
      <w:r w:rsidR="009B5879">
        <w:rPr>
          <w:rFonts w:ascii="Times New Roman" w:hAnsi="Times New Roman" w:cs="Times New Roman"/>
        </w:rPr>
        <w:t>align with GCAH’s mission</w:t>
      </w:r>
    </w:p>
    <w:p w14:paraId="0BF09179" w14:textId="0A119C83" w:rsidR="00CD2531" w:rsidRDefault="00CD2531" w:rsidP="004B48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deteriorated, the material must be deemed either important to historical records and/or </w:t>
      </w:r>
      <w:r w:rsidR="00E460D1">
        <w:rPr>
          <w:rFonts w:ascii="Times New Roman" w:hAnsi="Times New Roman" w:cs="Times New Roman"/>
        </w:rPr>
        <w:t>restorable</w:t>
      </w:r>
      <w:r w:rsidR="00422F47">
        <w:rPr>
          <w:rFonts w:ascii="Times New Roman" w:hAnsi="Times New Roman" w:cs="Times New Roman"/>
        </w:rPr>
        <w:t xml:space="preserve"> by </w:t>
      </w:r>
      <w:r w:rsidR="00054117">
        <w:rPr>
          <w:rFonts w:ascii="Times New Roman" w:hAnsi="Times New Roman" w:cs="Times New Roman"/>
        </w:rPr>
        <w:t xml:space="preserve">GCAH’s conservators </w:t>
      </w:r>
    </w:p>
    <w:p w14:paraId="6C78ED81" w14:textId="3E32C81A" w:rsidR="003A6F49" w:rsidRDefault="00282ACF" w:rsidP="003A6F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preference is given to tangible, non-digital objects</w:t>
      </w:r>
    </w:p>
    <w:p w14:paraId="3D336603" w14:textId="604AF6CC" w:rsidR="00B026F2" w:rsidRPr="00476655" w:rsidRDefault="00B026F2" w:rsidP="003A6F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material </w:t>
      </w:r>
      <w:r>
        <w:rPr>
          <w:rFonts w:ascii="Times New Roman" w:hAnsi="Times New Roman" w:cs="Times New Roman"/>
          <w:i/>
          <w:iCs/>
        </w:rPr>
        <w:t>must</w:t>
      </w:r>
      <w:r>
        <w:rPr>
          <w:rFonts w:ascii="Times New Roman" w:hAnsi="Times New Roman" w:cs="Times New Roman"/>
        </w:rPr>
        <w:t xml:space="preserve"> be in good standing concerning provenance and ownership</w:t>
      </w:r>
      <w:r w:rsidR="009626DB">
        <w:rPr>
          <w:rFonts w:ascii="Times New Roman" w:hAnsi="Times New Roman" w:cs="Times New Roman"/>
        </w:rPr>
        <w:t xml:space="preserve"> (See Section IV Subsection a)</w:t>
      </w:r>
    </w:p>
    <w:p w14:paraId="15BED3A3" w14:textId="0430DD3D" w:rsidR="00785965" w:rsidRPr="00B22982" w:rsidRDefault="00785965" w:rsidP="00785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22982">
        <w:rPr>
          <w:rFonts w:ascii="Times New Roman" w:hAnsi="Times New Roman" w:cs="Times New Roman"/>
          <w:u w:val="single"/>
        </w:rPr>
        <w:t>Responsibility,</w:t>
      </w:r>
      <w:r w:rsidR="000E0178" w:rsidRPr="00B22982">
        <w:rPr>
          <w:rFonts w:ascii="Times New Roman" w:hAnsi="Times New Roman" w:cs="Times New Roman"/>
          <w:u w:val="single"/>
        </w:rPr>
        <w:t xml:space="preserve"> Protection, and Conservation</w:t>
      </w:r>
    </w:p>
    <w:p w14:paraId="3324370D" w14:textId="6531266A" w:rsidR="00524FC4" w:rsidRDefault="00524FC4" w:rsidP="00524F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Responsibility</w:t>
      </w:r>
    </w:p>
    <w:p w14:paraId="3F2FFFF4" w14:textId="74F999A1" w:rsidR="00E050F3" w:rsidRDefault="00E050F3" w:rsidP="00E050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435E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CAH recognizes the intrinsic emotional value in documents and </w:t>
      </w:r>
      <w:r w:rsidR="00951140">
        <w:rPr>
          <w:rFonts w:ascii="Times New Roman" w:hAnsi="Times New Roman" w:cs="Times New Roman"/>
        </w:rPr>
        <w:t xml:space="preserve">artwork, and maintains a responsibility to respect familial </w:t>
      </w:r>
      <w:r w:rsidR="00576EF6">
        <w:rPr>
          <w:rFonts w:ascii="Times New Roman" w:hAnsi="Times New Roman" w:cs="Times New Roman"/>
        </w:rPr>
        <w:t xml:space="preserve">pieces.  Additionally, the </w:t>
      </w:r>
      <w:r w:rsidR="001435E0">
        <w:rPr>
          <w:rFonts w:ascii="Times New Roman" w:hAnsi="Times New Roman" w:cs="Times New Roman"/>
        </w:rPr>
        <w:t>G</w:t>
      </w:r>
      <w:r w:rsidR="00576EF6">
        <w:rPr>
          <w:rFonts w:ascii="Times New Roman" w:hAnsi="Times New Roman" w:cs="Times New Roman"/>
        </w:rPr>
        <w:t xml:space="preserve">CAH is committed to provenance – the importance of </w:t>
      </w:r>
      <w:r w:rsidR="00C826CE">
        <w:rPr>
          <w:rFonts w:ascii="Times New Roman" w:hAnsi="Times New Roman" w:cs="Times New Roman"/>
        </w:rPr>
        <w:t xml:space="preserve">tracking originality, with proper </w:t>
      </w:r>
      <w:r w:rsidR="00727E65">
        <w:rPr>
          <w:rFonts w:ascii="Times New Roman" w:hAnsi="Times New Roman" w:cs="Times New Roman"/>
        </w:rPr>
        <w:t xml:space="preserve">ownership and history of ownership of </w:t>
      </w:r>
      <w:r w:rsidR="00727E65" w:rsidRPr="0045793F">
        <w:rPr>
          <w:rFonts w:ascii="Times New Roman" w:hAnsi="Times New Roman" w:cs="Times New Roman"/>
          <w:i/>
          <w:iCs/>
        </w:rPr>
        <w:t>strict</w:t>
      </w:r>
      <w:r w:rsidR="00727E65">
        <w:rPr>
          <w:rFonts w:ascii="Times New Roman" w:hAnsi="Times New Roman" w:cs="Times New Roman"/>
        </w:rPr>
        <w:t xml:space="preserve"> adherence.</w:t>
      </w:r>
    </w:p>
    <w:p w14:paraId="52E89E08" w14:textId="4B35A444" w:rsidR="00524FC4" w:rsidRDefault="00524FC4" w:rsidP="00524F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Protection</w:t>
      </w:r>
    </w:p>
    <w:p w14:paraId="63EBA822" w14:textId="29FD1D25" w:rsidR="0045793F" w:rsidRDefault="0045793F" w:rsidP="004579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Curators, Archivists, and Conservators at the GCAH take upmost care in </w:t>
      </w:r>
      <w:r w:rsidR="00A84C05">
        <w:rPr>
          <w:rFonts w:ascii="Times New Roman" w:hAnsi="Times New Roman" w:cs="Times New Roman"/>
        </w:rPr>
        <w:t>the handling of each piece at every location.</w:t>
      </w:r>
      <w:r w:rsidR="00A33424">
        <w:rPr>
          <w:rFonts w:ascii="Times New Roman" w:hAnsi="Times New Roman" w:cs="Times New Roman"/>
        </w:rPr>
        <w:t xml:space="preserve"> </w:t>
      </w:r>
      <w:r w:rsidR="00C174F5">
        <w:rPr>
          <w:rFonts w:ascii="Times New Roman" w:hAnsi="Times New Roman" w:cs="Times New Roman"/>
        </w:rPr>
        <w:t>Each employee is extensively trained in p</w:t>
      </w:r>
      <w:r w:rsidR="00A33424">
        <w:rPr>
          <w:rFonts w:ascii="Times New Roman" w:hAnsi="Times New Roman" w:cs="Times New Roman"/>
        </w:rPr>
        <w:t>roper attire and required hygiene practices</w:t>
      </w:r>
      <w:r w:rsidR="00C174F5">
        <w:rPr>
          <w:rFonts w:ascii="Times New Roman" w:hAnsi="Times New Roman" w:cs="Times New Roman"/>
        </w:rPr>
        <w:t>.</w:t>
      </w:r>
    </w:p>
    <w:p w14:paraId="6E53D913" w14:textId="691F4726" w:rsidR="002D524A" w:rsidRDefault="002D524A" w:rsidP="00964662">
      <w:pPr>
        <w:rPr>
          <w:rFonts w:ascii="Times New Roman" w:hAnsi="Times New Roman" w:cs="Times New Roman"/>
        </w:rPr>
      </w:pPr>
    </w:p>
    <w:p w14:paraId="6FF97BBB" w14:textId="77777777" w:rsidR="00964662" w:rsidRPr="00964662" w:rsidRDefault="00964662" w:rsidP="00964662">
      <w:pPr>
        <w:rPr>
          <w:rFonts w:ascii="Times New Roman" w:hAnsi="Times New Roman" w:cs="Times New Roman"/>
        </w:rPr>
      </w:pPr>
    </w:p>
    <w:p w14:paraId="1664295C" w14:textId="490D49B0" w:rsidR="00524FC4" w:rsidRDefault="00524FC4" w:rsidP="00524F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Conservation</w:t>
      </w:r>
    </w:p>
    <w:p w14:paraId="1DD0CF0A" w14:textId="64871B99" w:rsidR="00AA571A" w:rsidRDefault="00E9287C" w:rsidP="00333C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location </w:t>
      </w:r>
      <w:r w:rsidR="00450AF8">
        <w:rPr>
          <w:rFonts w:ascii="Times New Roman" w:hAnsi="Times New Roman" w:cs="Times New Roman"/>
        </w:rPr>
        <w:t xml:space="preserve">of the </w:t>
      </w:r>
      <w:r w:rsidR="000D3130">
        <w:rPr>
          <w:rFonts w:ascii="Times New Roman" w:hAnsi="Times New Roman" w:cs="Times New Roman"/>
        </w:rPr>
        <w:t xml:space="preserve">GCAH </w:t>
      </w:r>
      <w:r w:rsidR="00D90136">
        <w:rPr>
          <w:rFonts w:ascii="Times New Roman" w:hAnsi="Times New Roman" w:cs="Times New Roman"/>
        </w:rPr>
        <w:t xml:space="preserve">is </w:t>
      </w:r>
      <w:r w:rsidR="001907EA">
        <w:rPr>
          <w:rFonts w:ascii="Times New Roman" w:hAnsi="Times New Roman" w:cs="Times New Roman"/>
        </w:rPr>
        <w:t>equipped with a detailed force majeure</w:t>
      </w:r>
      <w:r>
        <w:rPr>
          <w:rFonts w:ascii="Times New Roman" w:hAnsi="Times New Roman" w:cs="Times New Roman"/>
        </w:rPr>
        <w:t xml:space="preserve"> </w:t>
      </w:r>
      <w:r w:rsidR="00A81938">
        <w:rPr>
          <w:rFonts w:ascii="Times New Roman" w:hAnsi="Times New Roman" w:cs="Times New Roman"/>
        </w:rPr>
        <w:t xml:space="preserve">clause </w:t>
      </w:r>
      <w:r w:rsidR="008C5900">
        <w:rPr>
          <w:rFonts w:ascii="Times New Roman" w:hAnsi="Times New Roman" w:cs="Times New Roman"/>
        </w:rPr>
        <w:t>which</w:t>
      </w:r>
      <w:r w:rsidR="00901918">
        <w:rPr>
          <w:rFonts w:ascii="Times New Roman" w:hAnsi="Times New Roman" w:cs="Times New Roman"/>
        </w:rPr>
        <w:t xml:space="preserve"> is</w:t>
      </w:r>
      <w:r w:rsidR="000D3130">
        <w:rPr>
          <w:rFonts w:ascii="Times New Roman" w:hAnsi="Times New Roman" w:cs="Times New Roman"/>
        </w:rPr>
        <w:t xml:space="preserve"> </w:t>
      </w:r>
      <w:r w:rsidR="00E01B61">
        <w:rPr>
          <w:rFonts w:ascii="Times New Roman" w:hAnsi="Times New Roman" w:cs="Times New Roman"/>
        </w:rPr>
        <w:t xml:space="preserve">clearly </w:t>
      </w:r>
      <w:r w:rsidR="007E6907">
        <w:rPr>
          <w:rFonts w:ascii="Times New Roman" w:hAnsi="Times New Roman" w:cs="Times New Roman"/>
        </w:rPr>
        <w:t xml:space="preserve">explained </w:t>
      </w:r>
      <w:r w:rsidR="00766BD8">
        <w:rPr>
          <w:rFonts w:ascii="Times New Roman" w:hAnsi="Times New Roman" w:cs="Times New Roman"/>
        </w:rPr>
        <w:t>to</w:t>
      </w:r>
      <w:r w:rsidR="009028FB">
        <w:rPr>
          <w:rFonts w:ascii="Times New Roman" w:hAnsi="Times New Roman" w:cs="Times New Roman"/>
        </w:rPr>
        <w:t xml:space="preserve"> and</w:t>
      </w:r>
      <w:r w:rsidR="007E6907">
        <w:rPr>
          <w:rFonts w:ascii="Times New Roman" w:hAnsi="Times New Roman" w:cs="Times New Roman"/>
        </w:rPr>
        <w:t xml:space="preserve"> understood by all staff members. </w:t>
      </w:r>
      <w:r w:rsidR="00290432">
        <w:rPr>
          <w:rFonts w:ascii="Times New Roman" w:hAnsi="Times New Roman" w:cs="Times New Roman"/>
        </w:rPr>
        <w:t>The GCAH understands that var</w:t>
      </w:r>
      <w:r w:rsidR="007061CF">
        <w:rPr>
          <w:rFonts w:ascii="Times New Roman" w:hAnsi="Times New Roman" w:cs="Times New Roman"/>
        </w:rPr>
        <w:t>ying</w:t>
      </w:r>
      <w:r w:rsidR="00290432">
        <w:rPr>
          <w:rFonts w:ascii="Times New Roman" w:hAnsi="Times New Roman" w:cs="Times New Roman"/>
        </w:rPr>
        <w:t xml:space="preserve"> </w:t>
      </w:r>
      <w:r w:rsidR="00C53973">
        <w:rPr>
          <w:rFonts w:ascii="Times New Roman" w:hAnsi="Times New Roman" w:cs="Times New Roman"/>
        </w:rPr>
        <w:t xml:space="preserve">locations </w:t>
      </w:r>
      <w:r w:rsidR="007061CF">
        <w:rPr>
          <w:rFonts w:ascii="Times New Roman" w:hAnsi="Times New Roman" w:cs="Times New Roman"/>
        </w:rPr>
        <w:t>deal with</w:t>
      </w:r>
      <w:r w:rsidR="00C53973">
        <w:rPr>
          <w:rFonts w:ascii="Times New Roman" w:hAnsi="Times New Roman" w:cs="Times New Roman"/>
        </w:rPr>
        <w:t xml:space="preserve"> differing climates and environments</w:t>
      </w:r>
      <w:r w:rsidR="009028FB">
        <w:rPr>
          <w:rFonts w:ascii="Times New Roman" w:hAnsi="Times New Roman" w:cs="Times New Roman"/>
        </w:rPr>
        <w:t>; therefore</w:t>
      </w:r>
      <w:r w:rsidR="00C53973">
        <w:rPr>
          <w:rFonts w:ascii="Times New Roman" w:hAnsi="Times New Roman" w:cs="Times New Roman"/>
        </w:rPr>
        <w:t xml:space="preserve"> proper measures</w:t>
      </w:r>
      <w:r w:rsidR="002D524A">
        <w:rPr>
          <w:rFonts w:ascii="Times New Roman" w:hAnsi="Times New Roman" w:cs="Times New Roman"/>
        </w:rPr>
        <w:t xml:space="preserve"> are strictly in place</w:t>
      </w:r>
      <w:r w:rsidR="00C53973">
        <w:rPr>
          <w:rFonts w:ascii="Times New Roman" w:hAnsi="Times New Roman" w:cs="Times New Roman"/>
        </w:rPr>
        <w:t xml:space="preserve"> to make sure every pie</w:t>
      </w:r>
      <w:r w:rsidR="00261F29">
        <w:rPr>
          <w:rFonts w:ascii="Times New Roman" w:hAnsi="Times New Roman" w:cs="Times New Roman"/>
        </w:rPr>
        <w:t xml:space="preserve">ce </w:t>
      </w:r>
      <w:r w:rsidR="002D524A">
        <w:rPr>
          <w:rFonts w:ascii="Times New Roman" w:hAnsi="Times New Roman" w:cs="Times New Roman"/>
        </w:rPr>
        <w:t xml:space="preserve">and collection </w:t>
      </w:r>
      <w:r w:rsidR="00261F29">
        <w:rPr>
          <w:rFonts w:ascii="Times New Roman" w:hAnsi="Times New Roman" w:cs="Times New Roman"/>
        </w:rPr>
        <w:t xml:space="preserve">is </w:t>
      </w:r>
      <w:r w:rsidR="009028FB">
        <w:rPr>
          <w:rFonts w:ascii="Times New Roman" w:hAnsi="Times New Roman" w:cs="Times New Roman"/>
        </w:rPr>
        <w:t xml:space="preserve">well </w:t>
      </w:r>
      <w:r w:rsidR="002D524A">
        <w:rPr>
          <w:rFonts w:ascii="Times New Roman" w:hAnsi="Times New Roman" w:cs="Times New Roman"/>
        </w:rPr>
        <w:t xml:space="preserve">taken </w:t>
      </w:r>
      <w:r w:rsidR="00261F29">
        <w:rPr>
          <w:rFonts w:ascii="Times New Roman" w:hAnsi="Times New Roman" w:cs="Times New Roman"/>
        </w:rPr>
        <w:t>care of.</w:t>
      </w:r>
    </w:p>
    <w:p w14:paraId="61A410C0" w14:textId="2CF21F4A" w:rsidR="004001EE" w:rsidRDefault="00404FEA" w:rsidP="00785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22982">
        <w:rPr>
          <w:rFonts w:ascii="Times New Roman" w:hAnsi="Times New Roman" w:cs="Times New Roman"/>
          <w:u w:val="single"/>
        </w:rPr>
        <w:t>Deaccession</w:t>
      </w:r>
    </w:p>
    <w:p w14:paraId="5FA733A5" w14:textId="7D77938D" w:rsidR="009A3623" w:rsidRPr="00B22982" w:rsidRDefault="007A2D35" w:rsidP="009A36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</w:t>
      </w:r>
      <w:r w:rsidR="003133A7">
        <w:rPr>
          <w:rFonts w:ascii="Times New Roman" w:hAnsi="Times New Roman" w:cs="Times New Roman"/>
        </w:rPr>
        <w:t>ach quarter</w:t>
      </w:r>
      <w:r>
        <w:rPr>
          <w:rFonts w:ascii="Times New Roman" w:hAnsi="Times New Roman" w:cs="Times New Roman"/>
        </w:rPr>
        <w:t xml:space="preserve">, the COO of </w:t>
      </w:r>
      <w:r w:rsidR="006B7B32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GCAH location</w:t>
      </w:r>
      <w:r w:rsidR="006B7B3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will commiserate </w:t>
      </w:r>
      <w:r w:rsidR="00E62E8A">
        <w:rPr>
          <w:rFonts w:ascii="Times New Roman" w:hAnsi="Times New Roman" w:cs="Times New Roman"/>
        </w:rPr>
        <w:t xml:space="preserve">to begin the deaccession process.  Seeing as the GCAH contains an enormous collection worldwide, </w:t>
      </w:r>
      <w:r w:rsidR="00FA689A">
        <w:rPr>
          <w:rFonts w:ascii="Times New Roman" w:hAnsi="Times New Roman" w:cs="Times New Roman"/>
        </w:rPr>
        <w:t xml:space="preserve">it is important </w:t>
      </w:r>
      <w:r w:rsidR="00A27858">
        <w:rPr>
          <w:rFonts w:ascii="Times New Roman" w:hAnsi="Times New Roman" w:cs="Times New Roman"/>
        </w:rPr>
        <w:t xml:space="preserve">to </w:t>
      </w:r>
      <w:r w:rsidR="003133A7">
        <w:rPr>
          <w:rFonts w:ascii="Times New Roman" w:hAnsi="Times New Roman" w:cs="Times New Roman"/>
        </w:rPr>
        <w:t>keep an updated</w:t>
      </w:r>
      <w:r w:rsidR="00C14BE8">
        <w:rPr>
          <w:rFonts w:ascii="Times New Roman" w:hAnsi="Times New Roman" w:cs="Times New Roman"/>
        </w:rPr>
        <w:t xml:space="preserve">, accurate, balanced collection that pertains to current and predicted </w:t>
      </w:r>
      <w:r w:rsidR="00406856">
        <w:rPr>
          <w:rFonts w:ascii="Times New Roman" w:hAnsi="Times New Roman" w:cs="Times New Roman"/>
        </w:rPr>
        <w:t xml:space="preserve">researcher needs.  A demographic and statistical assessment will be performed to decide which </w:t>
      </w:r>
      <w:r w:rsidR="00D1487D">
        <w:rPr>
          <w:rFonts w:ascii="Times New Roman" w:hAnsi="Times New Roman" w:cs="Times New Roman"/>
        </w:rPr>
        <w:t>pieces are most prev</w:t>
      </w:r>
      <w:r w:rsidR="00C817AC">
        <w:rPr>
          <w:rFonts w:ascii="Times New Roman" w:hAnsi="Times New Roman" w:cs="Times New Roman"/>
        </w:rPr>
        <w:t>alent to the current users.</w:t>
      </w:r>
      <w:r w:rsidR="00FB7D27">
        <w:rPr>
          <w:rFonts w:ascii="Times New Roman" w:hAnsi="Times New Roman" w:cs="Times New Roman"/>
        </w:rPr>
        <w:t xml:space="preserve"> The governing bodies will also assess any redundancies throughout all collections</w:t>
      </w:r>
      <w:r w:rsidR="008937E4">
        <w:rPr>
          <w:rFonts w:ascii="Times New Roman" w:hAnsi="Times New Roman" w:cs="Times New Roman"/>
        </w:rPr>
        <w:t xml:space="preserve"> and make sure each GCAH location is unique.</w:t>
      </w:r>
    </w:p>
    <w:p w14:paraId="5C297024" w14:textId="4DD2FE02" w:rsidR="00941442" w:rsidRDefault="00941442" w:rsidP="00785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22982">
        <w:rPr>
          <w:rFonts w:ascii="Times New Roman" w:hAnsi="Times New Roman" w:cs="Times New Roman"/>
          <w:u w:val="single"/>
        </w:rPr>
        <w:t>Budget and Funding</w:t>
      </w:r>
    </w:p>
    <w:p w14:paraId="1EB9BD77" w14:textId="5148818E" w:rsidR="00FC0213" w:rsidRDefault="00FF350B" w:rsidP="00D362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value of </w:t>
      </w:r>
      <w:r w:rsidR="006B7B32">
        <w:rPr>
          <w:rFonts w:ascii="Times New Roman" w:hAnsi="Times New Roman" w:cs="Times New Roman"/>
        </w:rPr>
        <w:t>every</w:t>
      </w:r>
      <w:r>
        <w:rPr>
          <w:rFonts w:ascii="Times New Roman" w:hAnsi="Times New Roman" w:cs="Times New Roman"/>
        </w:rPr>
        <w:t xml:space="preserve"> collection is what binds </w:t>
      </w:r>
      <w:r w:rsidR="00636C77">
        <w:rPr>
          <w:rFonts w:ascii="Times New Roman" w:hAnsi="Times New Roman" w:cs="Times New Roman"/>
        </w:rPr>
        <w:t>e</w:t>
      </w:r>
      <w:r w:rsidR="006B7B32">
        <w:rPr>
          <w:rFonts w:ascii="Times New Roman" w:hAnsi="Times New Roman" w:cs="Times New Roman"/>
        </w:rPr>
        <w:t>ach</w:t>
      </w:r>
      <w:r>
        <w:rPr>
          <w:rFonts w:ascii="Times New Roman" w:hAnsi="Times New Roman" w:cs="Times New Roman"/>
        </w:rPr>
        <w:t xml:space="preserve"> GCAH location at its core.</w:t>
      </w:r>
      <w:r w:rsidR="0020176F">
        <w:rPr>
          <w:rFonts w:ascii="Times New Roman" w:hAnsi="Times New Roman" w:cs="Times New Roman"/>
        </w:rPr>
        <w:t xml:space="preserve">  Due to the nature of</w:t>
      </w:r>
      <w:r w:rsidR="007239F8">
        <w:rPr>
          <w:rFonts w:ascii="Times New Roman" w:hAnsi="Times New Roman" w:cs="Times New Roman"/>
        </w:rPr>
        <w:t xml:space="preserve"> our</w:t>
      </w:r>
      <w:r w:rsidR="0020176F">
        <w:rPr>
          <w:rFonts w:ascii="Times New Roman" w:hAnsi="Times New Roman" w:cs="Times New Roman"/>
        </w:rPr>
        <w:t xml:space="preserve"> rare,</w:t>
      </w:r>
      <w:r w:rsidR="00E91669">
        <w:rPr>
          <w:rFonts w:ascii="Times New Roman" w:hAnsi="Times New Roman" w:cs="Times New Roman"/>
        </w:rPr>
        <w:t xml:space="preserve"> </w:t>
      </w:r>
      <w:r w:rsidR="00E6656E">
        <w:rPr>
          <w:rFonts w:ascii="Times New Roman" w:hAnsi="Times New Roman" w:cs="Times New Roman"/>
        </w:rPr>
        <w:t>priceless, and historically valuable</w:t>
      </w:r>
      <w:r w:rsidR="00D8252B">
        <w:rPr>
          <w:rFonts w:ascii="Times New Roman" w:hAnsi="Times New Roman" w:cs="Times New Roman"/>
        </w:rPr>
        <w:t xml:space="preserve"> ac</w:t>
      </w:r>
      <w:r w:rsidR="007239F8">
        <w:rPr>
          <w:rFonts w:ascii="Times New Roman" w:hAnsi="Times New Roman" w:cs="Times New Roman"/>
        </w:rPr>
        <w:t xml:space="preserve">quisitions, a significant portion of GCAH’s budget is portioned </w:t>
      </w:r>
      <w:r w:rsidR="0051321C">
        <w:rPr>
          <w:rFonts w:ascii="Times New Roman" w:hAnsi="Times New Roman" w:cs="Times New Roman"/>
        </w:rPr>
        <w:t>primarily to</w:t>
      </w:r>
      <w:r w:rsidR="007239F8">
        <w:rPr>
          <w:rFonts w:ascii="Times New Roman" w:hAnsi="Times New Roman" w:cs="Times New Roman"/>
        </w:rPr>
        <w:t xml:space="preserve"> insurance</w:t>
      </w:r>
      <w:r w:rsidR="0051321C">
        <w:rPr>
          <w:rFonts w:ascii="Times New Roman" w:hAnsi="Times New Roman" w:cs="Times New Roman"/>
        </w:rPr>
        <w:t>, and secondarily to conservation.</w:t>
      </w:r>
      <w:r w:rsidR="005D16E5">
        <w:rPr>
          <w:rFonts w:ascii="Times New Roman" w:hAnsi="Times New Roman" w:cs="Times New Roman"/>
        </w:rPr>
        <w:t xml:space="preserve"> </w:t>
      </w:r>
      <w:r w:rsidR="00F03EB9">
        <w:rPr>
          <w:rFonts w:ascii="Times New Roman" w:hAnsi="Times New Roman" w:cs="Times New Roman"/>
        </w:rPr>
        <w:t>The remaining</w:t>
      </w:r>
      <w:r w:rsidR="0048230B">
        <w:rPr>
          <w:rFonts w:ascii="Times New Roman" w:hAnsi="Times New Roman" w:cs="Times New Roman"/>
        </w:rPr>
        <w:t xml:space="preserve"> </w:t>
      </w:r>
      <w:r w:rsidR="00F03EB9">
        <w:rPr>
          <w:rFonts w:ascii="Times New Roman" w:hAnsi="Times New Roman" w:cs="Times New Roman"/>
        </w:rPr>
        <w:t>non-staffing</w:t>
      </w:r>
      <w:r w:rsidR="0048230B">
        <w:rPr>
          <w:rFonts w:ascii="Times New Roman" w:hAnsi="Times New Roman" w:cs="Times New Roman"/>
        </w:rPr>
        <w:t>-</w:t>
      </w:r>
      <w:r w:rsidR="00F03EB9">
        <w:rPr>
          <w:rFonts w:ascii="Times New Roman" w:hAnsi="Times New Roman" w:cs="Times New Roman"/>
        </w:rPr>
        <w:t>related budget is given to the Global Travel Grant.</w:t>
      </w:r>
    </w:p>
    <w:p w14:paraId="79B898EE" w14:textId="6100CDB5" w:rsidR="00C467AC" w:rsidRPr="00CB577A" w:rsidRDefault="00C66E89" w:rsidP="00CB57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GCAH </w:t>
      </w:r>
      <w:r w:rsidR="00124322">
        <w:rPr>
          <w:rFonts w:ascii="Times New Roman" w:hAnsi="Times New Roman" w:cs="Times New Roman"/>
        </w:rPr>
        <w:t>focuses heavily on</w:t>
      </w:r>
      <w:r w:rsidR="00F21B46">
        <w:rPr>
          <w:rFonts w:ascii="Times New Roman" w:hAnsi="Times New Roman" w:cs="Times New Roman"/>
        </w:rPr>
        <w:t xml:space="preserve"> collecting</w:t>
      </w:r>
      <w:r w:rsidR="00124322">
        <w:rPr>
          <w:rFonts w:ascii="Times New Roman" w:hAnsi="Times New Roman" w:cs="Times New Roman"/>
        </w:rPr>
        <w:t xml:space="preserve"> tangible items to promote its mission of encouraging academic stimuli and provid</w:t>
      </w:r>
      <w:r w:rsidR="00F21B46">
        <w:rPr>
          <w:rFonts w:ascii="Times New Roman" w:hAnsi="Times New Roman" w:cs="Times New Roman"/>
        </w:rPr>
        <w:t>ing users with a unique experience. In order to develop s</w:t>
      </w:r>
      <w:r w:rsidR="000F414E">
        <w:rPr>
          <w:rFonts w:ascii="Times New Roman" w:hAnsi="Times New Roman" w:cs="Times New Roman"/>
        </w:rPr>
        <w:t>uch a grand task, little priority</w:t>
      </w:r>
      <w:r w:rsidR="009262BF">
        <w:rPr>
          <w:rFonts w:ascii="Times New Roman" w:hAnsi="Times New Roman" w:cs="Times New Roman"/>
        </w:rPr>
        <w:t xml:space="preserve"> and funding</w:t>
      </w:r>
      <w:r w:rsidR="000F414E">
        <w:rPr>
          <w:rFonts w:ascii="Times New Roman" w:hAnsi="Times New Roman" w:cs="Times New Roman"/>
        </w:rPr>
        <w:t xml:space="preserve"> is given to incorporating digitizing software and pro</w:t>
      </w:r>
      <w:r w:rsidR="00D349A5">
        <w:rPr>
          <w:rFonts w:ascii="Times New Roman" w:hAnsi="Times New Roman" w:cs="Times New Roman"/>
        </w:rPr>
        <w:t xml:space="preserve">cessing.  </w:t>
      </w:r>
      <w:r w:rsidR="002876D4">
        <w:rPr>
          <w:rFonts w:ascii="Times New Roman" w:hAnsi="Times New Roman" w:cs="Times New Roman"/>
        </w:rPr>
        <w:t>To provide equal opportunity across all researchers, the GCAH provides a Global Travel Grant</w:t>
      </w:r>
      <w:r w:rsidR="00CB577A">
        <w:rPr>
          <w:rFonts w:ascii="Times New Roman" w:hAnsi="Times New Roman" w:cs="Times New Roman"/>
        </w:rPr>
        <w:t xml:space="preserve"> </w:t>
      </w:r>
      <w:r w:rsidR="00FA5F4C">
        <w:rPr>
          <w:rFonts w:ascii="Times New Roman" w:hAnsi="Times New Roman" w:cs="Times New Roman"/>
        </w:rPr>
        <w:t>to allow fair experiences.</w:t>
      </w:r>
    </w:p>
    <w:p w14:paraId="0FC6F2FB" w14:textId="2FB2C209" w:rsidR="00D36256" w:rsidRPr="005C33D2" w:rsidRDefault="00D36256" w:rsidP="00D362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Global Travel Grant</w:t>
      </w:r>
    </w:p>
    <w:p w14:paraId="77CAA9CF" w14:textId="13A08051" w:rsidR="005C33D2" w:rsidRPr="00B22982" w:rsidRDefault="005C33D2" w:rsidP="005C33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In place of digitizing GCAH’s records, a portion of the insti</w:t>
      </w:r>
      <w:r w:rsidR="00936813">
        <w:rPr>
          <w:rFonts w:ascii="Times New Roman" w:hAnsi="Times New Roman" w:cs="Times New Roman"/>
        </w:rPr>
        <w:t>tution’s funding will consistently be cycled into the Global Travel Grant.  The selection process for this g</w:t>
      </w:r>
      <w:r w:rsidR="00AA5D51">
        <w:rPr>
          <w:rFonts w:ascii="Times New Roman" w:hAnsi="Times New Roman" w:cs="Times New Roman"/>
        </w:rPr>
        <w:t>rant is done monthly</w:t>
      </w:r>
      <w:r w:rsidR="0030418F">
        <w:rPr>
          <w:rFonts w:ascii="Times New Roman" w:hAnsi="Times New Roman" w:cs="Times New Roman"/>
        </w:rPr>
        <w:t xml:space="preserve"> </w:t>
      </w:r>
      <w:r w:rsidR="00991119">
        <w:rPr>
          <w:rFonts w:ascii="Times New Roman" w:hAnsi="Times New Roman" w:cs="Times New Roman"/>
        </w:rPr>
        <w:t>in which</w:t>
      </w:r>
      <w:r w:rsidR="0030418F">
        <w:rPr>
          <w:rFonts w:ascii="Times New Roman" w:hAnsi="Times New Roman" w:cs="Times New Roman"/>
        </w:rPr>
        <w:t xml:space="preserve"> 5 researchers for each of the 15 locations are chosen </w:t>
      </w:r>
      <w:r w:rsidR="00005F2F">
        <w:rPr>
          <w:rFonts w:ascii="Times New Roman" w:hAnsi="Times New Roman" w:cs="Times New Roman"/>
        </w:rPr>
        <w:t>to visit their desired location</w:t>
      </w:r>
      <w:r w:rsidR="006E6F9B">
        <w:rPr>
          <w:rFonts w:ascii="Times New Roman" w:hAnsi="Times New Roman" w:cs="Times New Roman"/>
        </w:rPr>
        <w:t>.</w:t>
      </w:r>
      <w:r w:rsidR="004C42A1">
        <w:rPr>
          <w:rFonts w:ascii="Times New Roman" w:hAnsi="Times New Roman" w:cs="Times New Roman"/>
        </w:rPr>
        <w:t xml:space="preserve">  </w:t>
      </w:r>
      <w:r w:rsidR="00A65E25">
        <w:rPr>
          <w:rFonts w:ascii="Times New Roman" w:hAnsi="Times New Roman" w:cs="Times New Roman"/>
        </w:rPr>
        <w:t>R</w:t>
      </w:r>
      <w:r w:rsidR="00B126C0">
        <w:rPr>
          <w:rFonts w:ascii="Times New Roman" w:hAnsi="Times New Roman" w:cs="Times New Roman"/>
        </w:rPr>
        <w:t xml:space="preserve">esearchers are chosen based on applications </w:t>
      </w:r>
      <w:r w:rsidR="00FA2E7C">
        <w:rPr>
          <w:rFonts w:ascii="Times New Roman" w:hAnsi="Times New Roman" w:cs="Times New Roman"/>
        </w:rPr>
        <w:t>w</w:t>
      </w:r>
      <w:r w:rsidR="002D3FB3">
        <w:rPr>
          <w:rFonts w:ascii="Times New Roman" w:hAnsi="Times New Roman" w:cs="Times New Roman"/>
        </w:rPr>
        <w:t xml:space="preserve">hich must demonstrate an </w:t>
      </w:r>
      <w:r w:rsidR="00B126C0">
        <w:rPr>
          <w:rFonts w:ascii="Times New Roman" w:hAnsi="Times New Roman" w:cs="Times New Roman"/>
        </w:rPr>
        <w:t xml:space="preserve">intensity of and commitment to their research. </w:t>
      </w:r>
      <w:r w:rsidR="004C42A1">
        <w:rPr>
          <w:rFonts w:ascii="Times New Roman" w:hAnsi="Times New Roman" w:cs="Times New Roman"/>
        </w:rPr>
        <w:t>The visit comprises a three-day pass to the institution</w:t>
      </w:r>
      <w:r w:rsidR="00AC702A">
        <w:rPr>
          <w:rFonts w:ascii="Times New Roman" w:hAnsi="Times New Roman" w:cs="Times New Roman"/>
        </w:rPr>
        <w:t xml:space="preserve"> with al</w:t>
      </w:r>
      <w:r w:rsidR="003E7E9E">
        <w:rPr>
          <w:rFonts w:ascii="Times New Roman" w:hAnsi="Times New Roman" w:cs="Times New Roman"/>
        </w:rPr>
        <w:t>l travel expenses paid.  The GCAH is committed to fair a</w:t>
      </w:r>
      <w:r w:rsidR="00511655">
        <w:rPr>
          <w:rFonts w:ascii="Times New Roman" w:hAnsi="Times New Roman" w:cs="Times New Roman"/>
        </w:rPr>
        <w:t xml:space="preserve">ccess </w:t>
      </w:r>
      <w:r w:rsidR="00C715AF">
        <w:rPr>
          <w:rFonts w:ascii="Times New Roman" w:hAnsi="Times New Roman" w:cs="Times New Roman"/>
        </w:rPr>
        <w:t>for researchers across the globe.</w:t>
      </w:r>
    </w:p>
    <w:p w14:paraId="1D558516" w14:textId="02A1E26C" w:rsidR="004001EE" w:rsidRPr="00B22982" w:rsidRDefault="004001EE" w:rsidP="00785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22982">
        <w:rPr>
          <w:rFonts w:ascii="Times New Roman" w:hAnsi="Times New Roman" w:cs="Times New Roman"/>
          <w:u w:val="single"/>
        </w:rPr>
        <w:t>Intellectual Freedom</w:t>
      </w:r>
    </w:p>
    <w:p w14:paraId="5ED76FFB" w14:textId="4344E18E" w:rsidR="003E0DF7" w:rsidRPr="00F32E1F" w:rsidRDefault="00F32E1F" w:rsidP="00035C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GCAH respects all users from all backgrounds</w:t>
      </w:r>
      <w:r w:rsidR="009F417A">
        <w:rPr>
          <w:rFonts w:ascii="Times New Roman" w:hAnsi="Times New Roman" w:cs="Times New Roman"/>
        </w:rPr>
        <w:t xml:space="preserve"> and does not discriminate against any persons. Each GCAH location </w:t>
      </w:r>
      <w:r w:rsidR="00035CFE" w:rsidRPr="00F32E1F">
        <w:rPr>
          <w:rFonts w:ascii="Times New Roman" w:hAnsi="Times New Roman" w:cs="Times New Roman"/>
        </w:rPr>
        <w:t xml:space="preserve">follows </w:t>
      </w:r>
      <w:hyperlink r:id="rId5" w:history="1">
        <w:r w:rsidR="00035CFE" w:rsidRPr="00B977FF">
          <w:rPr>
            <w:rStyle w:val="Hyperlink"/>
            <w:rFonts w:ascii="Times New Roman" w:hAnsi="Times New Roman" w:cs="Times New Roman"/>
          </w:rPr>
          <w:t>ALA’s The Freedom to Read Statement</w:t>
        </w:r>
      </w:hyperlink>
    </w:p>
    <w:p w14:paraId="3E06625A" w14:textId="6B161E2B" w:rsidR="004001EE" w:rsidRPr="00B22982" w:rsidRDefault="004001EE" w:rsidP="00785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22982">
        <w:rPr>
          <w:rFonts w:ascii="Times New Roman" w:hAnsi="Times New Roman" w:cs="Times New Roman"/>
          <w:u w:val="single"/>
        </w:rPr>
        <w:t>Gifts</w:t>
      </w:r>
      <w:r w:rsidR="001F5E05">
        <w:rPr>
          <w:rFonts w:ascii="Times New Roman" w:hAnsi="Times New Roman" w:cs="Times New Roman"/>
          <w:u w:val="single"/>
        </w:rPr>
        <w:t xml:space="preserve"> and Loans</w:t>
      </w:r>
    </w:p>
    <w:p w14:paraId="038BAABE" w14:textId="43653C2F" w:rsidR="00A35C78" w:rsidRDefault="00A35C78" w:rsidP="00A35C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Gifts</w:t>
      </w:r>
    </w:p>
    <w:p w14:paraId="0C3A5890" w14:textId="362C76D3" w:rsidR="00A35C78" w:rsidRDefault="00676330" w:rsidP="001F5E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see </w:t>
      </w:r>
      <w:r w:rsidR="008E7EA2">
        <w:rPr>
          <w:rFonts w:ascii="Times New Roman" w:hAnsi="Times New Roman" w:cs="Times New Roman"/>
        </w:rPr>
        <w:t xml:space="preserve">Section I Subsection b for </w:t>
      </w:r>
      <w:r w:rsidR="00C715AF">
        <w:rPr>
          <w:rFonts w:ascii="Times New Roman" w:hAnsi="Times New Roman" w:cs="Times New Roman"/>
        </w:rPr>
        <w:t xml:space="preserve">current and </w:t>
      </w:r>
      <w:r w:rsidR="00B811A9">
        <w:rPr>
          <w:rFonts w:ascii="Times New Roman" w:hAnsi="Times New Roman" w:cs="Times New Roman"/>
        </w:rPr>
        <w:t>acceptable holdings.</w:t>
      </w:r>
    </w:p>
    <w:p w14:paraId="2DB534D1" w14:textId="1A1252F4" w:rsidR="00272528" w:rsidRDefault="00E17CCA" w:rsidP="002725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GCAH </w:t>
      </w:r>
      <w:r w:rsidR="00B53205">
        <w:rPr>
          <w:rFonts w:ascii="Times New Roman" w:hAnsi="Times New Roman" w:cs="Times New Roman"/>
        </w:rPr>
        <w:t>e</w:t>
      </w:r>
      <w:r w:rsidR="0031495D">
        <w:rPr>
          <w:rFonts w:ascii="Times New Roman" w:hAnsi="Times New Roman" w:cs="Times New Roman"/>
        </w:rPr>
        <w:t xml:space="preserve">valuates gifts that fall into the scope </w:t>
      </w:r>
      <w:r w:rsidR="00580D16">
        <w:rPr>
          <w:rFonts w:ascii="Times New Roman" w:hAnsi="Times New Roman" w:cs="Times New Roman"/>
        </w:rPr>
        <w:t>of its collections.</w:t>
      </w:r>
      <w:r w:rsidR="00272528">
        <w:rPr>
          <w:rFonts w:ascii="Times New Roman" w:hAnsi="Times New Roman" w:cs="Times New Roman"/>
        </w:rPr>
        <w:t xml:space="preserve"> Gifts that fall out of the </w:t>
      </w:r>
      <w:r w:rsidR="00545F54">
        <w:rPr>
          <w:rFonts w:ascii="Times New Roman" w:hAnsi="Times New Roman" w:cs="Times New Roman"/>
        </w:rPr>
        <w:t>outlined scope will not be considered.</w:t>
      </w:r>
      <w:r w:rsidR="00CD529D">
        <w:rPr>
          <w:rFonts w:ascii="Times New Roman" w:hAnsi="Times New Roman" w:cs="Times New Roman"/>
        </w:rPr>
        <w:t xml:space="preserve"> Gifts that are not accepted will be requested</w:t>
      </w:r>
      <w:r w:rsidR="00527B92">
        <w:rPr>
          <w:rFonts w:ascii="Times New Roman" w:hAnsi="Times New Roman" w:cs="Times New Roman"/>
        </w:rPr>
        <w:t xml:space="preserve"> to return to its previous owner, and if rejected from this owner, will </w:t>
      </w:r>
      <w:r w:rsidR="00A654D9">
        <w:rPr>
          <w:rFonts w:ascii="Times New Roman" w:hAnsi="Times New Roman" w:cs="Times New Roman"/>
        </w:rPr>
        <w:t>be sold to benefit the Global Travel Grant</w:t>
      </w:r>
      <w:r w:rsidR="00D3224A">
        <w:rPr>
          <w:rFonts w:ascii="Times New Roman" w:hAnsi="Times New Roman" w:cs="Times New Roman"/>
        </w:rPr>
        <w:t>.</w:t>
      </w:r>
    </w:p>
    <w:p w14:paraId="42C6D20E" w14:textId="6D907C1F" w:rsidR="00A654D9" w:rsidRDefault="00A654D9" w:rsidP="00A654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Loans</w:t>
      </w:r>
    </w:p>
    <w:p w14:paraId="5AF69956" w14:textId="540A08A9" w:rsidR="00F12656" w:rsidRPr="00272528" w:rsidRDefault="00F47D3F" w:rsidP="00F47D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GCAH reserves loans to universities which prove </w:t>
      </w:r>
      <w:r w:rsidR="001C05F0">
        <w:rPr>
          <w:rFonts w:ascii="Times New Roman" w:hAnsi="Times New Roman" w:cs="Times New Roman"/>
        </w:rPr>
        <w:t>scholarly purpose and educational development</w:t>
      </w:r>
      <w:r w:rsidR="00C81012">
        <w:rPr>
          <w:rFonts w:ascii="Times New Roman" w:hAnsi="Times New Roman" w:cs="Times New Roman"/>
        </w:rPr>
        <w:t xml:space="preserve"> for the material requested</w:t>
      </w:r>
      <w:r w:rsidR="001C05F0">
        <w:rPr>
          <w:rFonts w:ascii="Times New Roman" w:hAnsi="Times New Roman" w:cs="Times New Roman"/>
        </w:rPr>
        <w:t>.</w:t>
      </w:r>
      <w:r w:rsidR="00193DB8">
        <w:rPr>
          <w:rFonts w:ascii="Times New Roman" w:hAnsi="Times New Roman" w:cs="Times New Roman"/>
        </w:rPr>
        <w:t xml:space="preserve"> </w:t>
      </w:r>
      <w:r w:rsidR="00976BF4">
        <w:rPr>
          <w:rFonts w:ascii="Times New Roman" w:hAnsi="Times New Roman" w:cs="Times New Roman"/>
        </w:rPr>
        <w:t xml:space="preserve">Faculty </w:t>
      </w:r>
      <w:r w:rsidR="002F414B">
        <w:rPr>
          <w:rFonts w:ascii="Times New Roman" w:hAnsi="Times New Roman" w:cs="Times New Roman"/>
        </w:rPr>
        <w:t xml:space="preserve">from a university may provide a written request to any of the </w:t>
      </w:r>
      <w:r w:rsidR="00722ED3">
        <w:rPr>
          <w:rFonts w:ascii="Times New Roman" w:hAnsi="Times New Roman" w:cs="Times New Roman"/>
        </w:rPr>
        <w:t>15 GCAH locations to allow their students to experience the materials in question.  As an alternati</w:t>
      </w:r>
      <w:r w:rsidR="00015867">
        <w:rPr>
          <w:rFonts w:ascii="Times New Roman" w:hAnsi="Times New Roman" w:cs="Times New Roman"/>
        </w:rPr>
        <w:t xml:space="preserve">ve, cheaper option, faculty may request a web conferencing session with a curator </w:t>
      </w:r>
      <w:r w:rsidR="009A5FDC">
        <w:rPr>
          <w:rFonts w:ascii="Times New Roman" w:hAnsi="Times New Roman" w:cs="Times New Roman"/>
        </w:rPr>
        <w:t>to pr</w:t>
      </w:r>
      <w:r w:rsidR="00495C0D">
        <w:rPr>
          <w:rFonts w:ascii="Times New Roman" w:hAnsi="Times New Roman" w:cs="Times New Roman"/>
        </w:rPr>
        <w:t>ovide a similar experience</w:t>
      </w:r>
      <w:r w:rsidR="00C81012">
        <w:rPr>
          <w:rFonts w:ascii="Times New Roman" w:hAnsi="Times New Roman" w:cs="Times New Roman"/>
        </w:rPr>
        <w:t xml:space="preserve"> for students.</w:t>
      </w:r>
    </w:p>
    <w:sectPr w:rsidR="00F12656" w:rsidRPr="0027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758B"/>
    <w:multiLevelType w:val="hybridMultilevel"/>
    <w:tmpl w:val="4FD4EF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62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84"/>
    <w:rsid w:val="00005F2F"/>
    <w:rsid w:val="00015867"/>
    <w:rsid w:val="00035CFE"/>
    <w:rsid w:val="00054117"/>
    <w:rsid w:val="000844DB"/>
    <w:rsid w:val="00085B0F"/>
    <w:rsid w:val="000D3130"/>
    <w:rsid w:val="000E0178"/>
    <w:rsid w:val="000E479D"/>
    <w:rsid w:val="000F414E"/>
    <w:rsid w:val="00120B25"/>
    <w:rsid w:val="00124322"/>
    <w:rsid w:val="001266E6"/>
    <w:rsid w:val="0013654A"/>
    <w:rsid w:val="001435E0"/>
    <w:rsid w:val="00154A85"/>
    <w:rsid w:val="00185E0E"/>
    <w:rsid w:val="001907EA"/>
    <w:rsid w:val="00193DB8"/>
    <w:rsid w:val="001C05F0"/>
    <w:rsid w:val="001F5E05"/>
    <w:rsid w:val="0020176F"/>
    <w:rsid w:val="00217AAB"/>
    <w:rsid w:val="0023753C"/>
    <w:rsid w:val="00261F29"/>
    <w:rsid w:val="00272528"/>
    <w:rsid w:val="00282ACF"/>
    <w:rsid w:val="002876D4"/>
    <w:rsid w:val="00290432"/>
    <w:rsid w:val="002951D7"/>
    <w:rsid w:val="002D3872"/>
    <w:rsid w:val="002D3FB3"/>
    <w:rsid w:val="002D524A"/>
    <w:rsid w:val="002F414B"/>
    <w:rsid w:val="00300D87"/>
    <w:rsid w:val="0030418F"/>
    <w:rsid w:val="003133A7"/>
    <w:rsid w:val="0031495D"/>
    <w:rsid w:val="00333CC9"/>
    <w:rsid w:val="003346F7"/>
    <w:rsid w:val="003374CF"/>
    <w:rsid w:val="00397F2D"/>
    <w:rsid w:val="003A6F49"/>
    <w:rsid w:val="003E0DF7"/>
    <w:rsid w:val="003E7E9E"/>
    <w:rsid w:val="004001EE"/>
    <w:rsid w:val="00404FEA"/>
    <w:rsid w:val="00406856"/>
    <w:rsid w:val="00422F47"/>
    <w:rsid w:val="00450AF8"/>
    <w:rsid w:val="0045793F"/>
    <w:rsid w:val="00474D42"/>
    <w:rsid w:val="00476655"/>
    <w:rsid w:val="0048230B"/>
    <w:rsid w:val="00495C0D"/>
    <w:rsid w:val="004B3BE2"/>
    <w:rsid w:val="004B48E1"/>
    <w:rsid w:val="004B54AF"/>
    <w:rsid w:val="004C42A1"/>
    <w:rsid w:val="004D7283"/>
    <w:rsid w:val="004F53C2"/>
    <w:rsid w:val="005005C7"/>
    <w:rsid w:val="00511655"/>
    <w:rsid w:val="0051321C"/>
    <w:rsid w:val="00524FC4"/>
    <w:rsid w:val="00527B92"/>
    <w:rsid w:val="00540E2B"/>
    <w:rsid w:val="00545F54"/>
    <w:rsid w:val="00564B5D"/>
    <w:rsid w:val="005765FB"/>
    <w:rsid w:val="00576EF6"/>
    <w:rsid w:val="00580D16"/>
    <w:rsid w:val="005B3446"/>
    <w:rsid w:val="005C33D2"/>
    <w:rsid w:val="005D16E5"/>
    <w:rsid w:val="00636C77"/>
    <w:rsid w:val="0064236E"/>
    <w:rsid w:val="00647DB9"/>
    <w:rsid w:val="00652F23"/>
    <w:rsid w:val="00661DA2"/>
    <w:rsid w:val="00676330"/>
    <w:rsid w:val="006B7B32"/>
    <w:rsid w:val="006D346F"/>
    <w:rsid w:val="006E6F9B"/>
    <w:rsid w:val="007061CF"/>
    <w:rsid w:val="007079BB"/>
    <w:rsid w:val="00722ED3"/>
    <w:rsid w:val="007239F8"/>
    <w:rsid w:val="00727E65"/>
    <w:rsid w:val="00730B95"/>
    <w:rsid w:val="007360EF"/>
    <w:rsid w:val="00766BD8"/>
    <w:rsid w:val="00785965"/>
    <w:rsid w:val="007A2D35"/>
    <w:rsid w:val="007A6050"/>
    <w:rsid w:val="007B6967"/>
    <w:rsid w:val="007E6907"/>
    <w:rsid w:val="007F6012"/>
    <w:rsid w:val="00812D76"/>
    <w:rsid w:val="008937E4"/>
    <w:rsid w:val="008C5900"/>
    <w:rsid w:val="008C7AE6"/>
    <w:rsid w:val="008E7EA2"/>
    <w:rsid w:val="00901918"/>
    <w:rsid w:val="009028FB"/>
    <w:rsid w:val="009037A3"/>
    <w:rsid w:val="009262BF"/>
    <w:rsid w:val="00936813"/>
    <w:rsid w:val="00941442"/>
    <w:rsid w:val="00951140"/>
    <w:rsid w:val="009626DB"/>
    <w:rsid w:val="00964662"/>
    <w:rsid w:val="00976BF4"/>
    <w:rsid w:val="00991119"/>
    <w:rsid w:val="009A3623"/>
    <w:rsid w:val="009A5FDC"/>
    <w:rsid w:val="009B5879"/>
    <w:rsid w:val="009C6799"/>
    <w:rsid w:val="009F417A"/>
    <w:rsid w:val="00A03A6D"/>
    <w:rsid w:val="00A27858"/>
    <w:rsid w:val="00A33424"/>
    <w:rsid w:val="00A35C78"/>
    <w:rsid w:val="00A5667E"/>
    <w:rsid w:val="00A654D9"/>
    <w:rsid w:val="00A65E25"/>
    <w:rsid w:val="00A805B7"/>
    <w:rsid w:val="00A81938"/>
    <w:rsid w:val="00A84C05"/>
    <w:rsid w:val="00AA571A"/>
    <w:rsid w:val="00AA5D51"/>
    <w:rsid w:val="00AB6384"/>
    <w:rsid w:val="00AC702A"/>
    <w:rsid w:val="00B026F2"/>
    <w:rsid w:val="00B126C0"/>
    <w:rsid w:val="00B22982"/>
    <w:rsid w:val="00B3485A"/>
    <w:rsid w:val="00B53205"/>
    <w:rsid w:val="00B811A9"/>
    <w:rsid w:val="00B977FF"/>
    <w:rsid w:val="00C136A7"/>
    <w:rsid w:val="00C14BE8"/>
    <w:rsid w:val="00C174F5"/>
    <w:rsid w:val="00C467AC"/>
    <w:rsid w:val="00C5119A"/>
    <w:rsid w:val="00C53973"/>
    <w:rsid w:val="00C65387"/>
    <w:rsid w:val="00C66E89"/>
    <w:rsid w:val="00C7007E"/>
    <w:rsid w:val="00C715AF"/>
    <w:rsid w:val="00C81012"/>
    <w:rsid w:val="00C817AC"/>
    <w:rsid w:val="00C826CE"/>
    <w:rsid w:val="00C96698"/>
    <w:rsid w:val="00CB3FA3"/>
    <w:rsid w:val="00CB577A"/>
    <w:rsid w:val="00CD2531"/>
    <w:rsid w:val="00CD529D"/>
    <w:rsid w:val="00D1487D"/>
    <w:rsid w:val="00D30666"/>
    <w:rsid w:val="00D3224A"/>
    <w:rsid w:val="00D349A5"/>
    <w:rsid w:val="00D36256"/>
    <w:rsid w:val="00D8252B"/>
    <w:rsid w:val="00D90136"/>
    <w:rsid w:val="00DE0A65"/>
    <w:rsid w:val="00E006EB"/>
    <w:rsid w:val="00E01B61"/>
    <w:rsid w:val="00E050F3"/>
    <w:rsid w:val="00E17CCA"/>
    <w:rsid w:val="00E21ACE"/>
    <w:rsid w:val="00E460D1"/>
    <w:rsid w:val="00E62E8A"/>
    <w:rsid w:val="00E650B7"/>
    <w:rsid w:val="00E6656E"/>
    <w:rsid w:val="00E91669"/>
    <w:rsid w:val="00E9287C"/>
    <w:rsid w:val="00E9600C"/>
    <w:rsid w:val="00EA1897"/>
    <w:rsid w:val="00EA24C9"/>
    <w:rsid w:val="00EE4C9F"/>
    <w:rsid w:val="00F03EB9"/>
    <w:rsid w:val="00F12656"/>
    <w:rsid w:val="00F21B46"/>
    <w:rsid w:val="00F32E1F"/>
    <w:rsid w:val="00F35061"/>
    <w:rsid w:val="00F47D3F"/>
    <w:rsid w:val="00F71823"/>
    <w:rsid w:val="00FA2E7C"/>
    <w:rsid w:val="00FA5F4C"/>
    <w:rsid w:val="00FA689A"/>
    <w:rsid w:val="00FB7D27"/>
    <w:rsid w:val="00FC0213"/>
    <w:rsid w:val="00FC44B5"/>
    <w:rsid w:val="00FE6B5D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EC28E"/>
  <w15:chartTrackingRefBased/>
  <w15:docId w15:val="{A3104537-85B0-A94C-855E-28F865A4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a.org/advocacy/intfreedom/freedomreadstat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Milillo</dc:creator>
  <cp:keywords/>
  <dc:description/>
  <cp:lastModifiedBy>Hannah Milillo</cp:lastModifiedBy>
  <cp:revision>2</cp:revision>
  <dcterms:created xsi:type="dcterms:W3CDTF">2022-09-17T22:46:00Z</dcterms:created>
  <dcterms:modified xsi:type="dcterms:W3CDTF">2022-09-17T22:46:00Z</dcterms:modified>
</cp:coreProperties>
</file>