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ind w:left="1080" w:firstLine="2"/>
        <w:spacing w:after="0" w:line="25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6"/>
          <w:szCs w:val="46"/>
          <w:color w:val="FFFFFF"/>
        </w:rPr>
        <w:t>ОСНОВНЫЕ НАПРАВЛЕНИЯ РАЗВИТИЯ ФИНАНСОВОГО РЫНКА РОССИЙСКОЙ ФЕДЕРАЦИИ НА</w:t>
      </w:r>
      <w:r>
        <w:rPr>
          <w:rFonts w:ascii="Arial" w:cs="Arial" w:eastAsia="Arial" w:hAnsi="Arial"/>
          <w:sz w:val="46"/>
          <w:szCs w:val="46"/>
          <w:color w:val="FFFFFF"/>
        </w:rPr>
        <w:t xml:space="preserve"> 2025</w:t>
      </w:r>
      <w:r>
        <w:rPr>
          <w:rFonts w:ascii="Arial" w:cs="Arial" w:eastAsia="Arial" w:hAnsi="Arial"/>
          <w:sz w:val="46"/>
          <w:szCs w:val="46"/>
          <w:color w:val="FFFFFF"/>
        </w:rPr>
        <w:t xml:space="preserve"> ГОД И ПЕРИОД </w:t>
      </w:r>
      <w:r>
        <w:rPr>
          <w:rFonts w:ascii="Arial" w:cs="Arial" w:eastAsia="Arial" w:hAnsi="Arial"/>
          <w:sz w:val="46"/>
          <w:szCs w:val="46"/>
          <w:color w:val="FFFFFF"/>
        </w:rPr>
        <w:t>2026</w:t>
      </w:r>
      <w:r>
        <w:rPr>
          <w:rFonts w:ascii="Arial" w:cs="Arial" w:eastAsia="Arial" w:hAnsi="Arial"/>
          <w:sz w:val="46"/>
          <w:szCs w:val="46"/>
          <w:color w:val="FFFFFF"/>
        </w:rPr>
        <w:t xml:space="preserve"> И</w:t>
      </w:r>
      <w:r>
        <w:rPr>
          <w:rFonts w:ascii="Arial" w:cs="Arial" w:eastAsia="Arial" w:hAnsi="Arial"/>
          <w:sz w:val="46"/>
          <w:szCs w:val="46"/>
          <w:color w:val="FFFFFF"/>
        </w:rPr>
        <w:t xml:space="preserve"> 2027</w:t>
      </w:r>
      <w:r>
        <w:rPr>
          <w:rFonts w:ascii="Arial" w:cs="Arial" w:eastAsia="Arial" w:hAnsi="Arial"/>
          <w:sz w:val="46"/>
          <w:szCs w:val="46"/>
          <w:color w:val="FFFFFF"/>
        </w:rPr>
        <w:t xml:space="preserve"> ГОДОВ</w:t>
      </w:r>
    </w:p>
    <w:p>
      <w:pPr>
        <w:sectPr>
          <w:pgSz w:w="11900" w:h="16838" w:orient="portrait"/>
          <w:cols w:equalWidth="0" w:num="1">
            <w:col w:w="9540"/>
          </w:cols>
          <w:pgMar w:left="1440" w:top="1440" w:right="926" w:bottom="517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8" w:lineRule="exact"/>
        <w:rPr>
          <w:sz w:val="24"/>
          <w:szCs w:val="24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Москва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FFFFFF"/>
        </w:rPr>
        <w:t>2024</w:t>
      </w:r>
    </w:p>
    <w:p>
      <w:pPr>
        <w:sectPr>
          <w:pgSz w:w="11900" w:h="16838" w:orient="portrait"/>
          <w:cols w:equalWidth="0" w:num="1">
            <w:col w:w="9540"/>
          </w:cols>
          <w:pgMar w:left="1440" w:top="1440" w:right="926" w:bottom="517" w:gutter="0" w:footer="0" w:header="0"/>
          <w:type w:val="continuous"/>
        </w:sectPr>
      </w:pPr>
    </w:p>
    <w:bookmarkStart w:id="1" w:name="page2"/>
    <w:bookmarkEnd w:id="1"/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0" w:lineRule="exact"/>
        <w:rPr>
          <w:sz w:val="20"/>
          <w:szCs w:val="20"/>
          <w:color w:val="auto"/>
        </w:rPr>
      </w:pPr>
    </w:p>
    <w:p>
      <w:pPr>
        <w:ind w:right="506"/>
        <w:spacing w:after="0" w:line="2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Основные направления развития финансового рынка Российской Федерации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 и период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 одобрены Советом директоров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right="326"/>
        <w:spacing w:after="0" w:line="2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Документ подготовлен по статистическим данным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01.10.2024,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отдельным показателям приводятся более актуальные данные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right="346"/>
        <w:spacing w:after="0" w:line="309" w:lineRule="auto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13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Электронная версия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документа размещена в разделе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«</w:t>
      </w:r>
      <w:r>
        <w:rPr>
          <w:rFonts w:ascii="Arial" w:cs="Arial" w:eastAsia="Arial" w:hAnsi="Arial"/>
          <w:sz w:val="20"/>
          <w:szCs w:val="20"/>
          <w:color w:val="000000"/>
        </w:rPr>
        <w:t>Издания Банка России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/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Основные направления развития финансового рынка Российской Федерации</w:t>
      </w:r>
      <w:r>
        <w:rPr>
          <w:rFonts w:ascii="Arial" w:cs="Arial" w:eastAsia="Arial" w:hAnsi="Arial"/>
          <w:sz w:val="20"/>
          <w:szCs w:val="20"/>
          <w:color w:val="000000"/>
        </w:rPr>
        <w:t>»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на сайте Банка России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Фото на обложке</w:t>
      </w:r>
      <w:r>
        <w:rPr>
          <w:rFonts w:ascii="Arial" w:cs="Arial" w:eastAsia="Arial" w:hAnsi="Arial"/>
          <w:sz w:val="20"/>
          <w:szCs w:val="20"/>
          <w:color w:val="auto"/>
        </w:rPr>
        <w:t>: Shutterstock/FOTODOM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107016,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Москва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ул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Неглинная</w:t>
      </w:r>
      <w:r>
        <w:rPr>
          <w:rFonts w:ascii="Arial" w:cs="Arial" w:eastAsia="Arial" w:hAnsi="Arial"/>
          <w:sz w:val="20"/>
          <w:szCs w:val="20"/>
          <w:color w:val="auto"/>
        </w:rPr>
        <w:t>, 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Официальный сайт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14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www.cbr.ru</w:t>
        </w:r>
      </w:hyperlink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©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Центральный банк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 2024</w:t>
      </w:r>
    </w:p>
    <w:p>
      <w:pPr>
        <w:sectPr>
          <w:pgSz w:w="11900" w:h="16838" w:orient="portrait"/>
          <w:cols w:equalWidth="0" w:num="1">
            <w:col w:w="9326"/>
          </w:cols>
          <w:pgMar w:left="1140" w:top="1440" w:right="1440" w:bottom="546" w:gutter="0" w:footer="0" w:header="0"/>
        </w:sectPr>
      </w:pPr>
    </w:p>
    <w:bookmarkStart w:id="2" w:name="page3"/>
    <w:bookmarkEnd w:id="2"/>
    <w:p>
      <w:pPr>
        <w:spacing w:after="0" w:line="30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6391"/>
        </w:rPr>
        <w:t>ОГЛАВЛЕНИЕ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2" w:lineRule="exact"/>
        <w:rPr>
          <w:sz w:val="20"/>
          <w:szCs w:val="20"/>
          <w:color w:val="auto"/>
        </w:rPr>
      </w:pPr>
    </w:p>
    <w:p>
      <w:pPr>
        <w:spacing w:after="0"/>
        <w:tabs>
          <w:tab w:leader="dot" w:pos="95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ВВЕДЕНИЕ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7"/>
          <w:szCs w:val="17"/>
          <w:color w:val="006391"/>
        </w:rPr>
        <w:t>1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РАЗДЕЛ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1.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ЦЕЛИ</w:t>
      </w:r>
      <w:r>
        <w:rPr>
          <w:rFonts w:ascii="Arial" w:cs="Arial" w:eastAsia="Arial" w:hAnsi="Arial"/>
          <w:sz w:val="24"/>
          <w:szCs w:val="24"/>
          <w:color w:val="006391"/>
        </w:rPr>
        <w:t>,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ПРИНЦИПЫ И МЕХАНИЗМЫ ПОЛИТИКИ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tabs>
          <w:tab w:leader="dot" w:pos="94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ПО РАЗВИТИЮ РОССИЙСКОГО ФИНАНСОВОГО РЫНКА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3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РАЗДЕЛ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2.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ТЕКУЩЕЕ СОСТОЯНИЕ</w:t>
      </w:r>
      <w:r>
        <w:rPr>
          <w:rFonts w:ascii="Arial" w:cs="Arial" w:eastAsia="Arial" w:hAnsi="Arial"/>
          <w:sz w:val="24"/>
          <w:szCs w:val="24"/>
          <w:color w:val="006391"/>
        </w:rPr>
        <w:t>,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ВОЗМОЖНОСТИ И ВЫЗОВЫ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ДЛЯ РАЗВИТИЯ РОССИЙСКОГО ФИНАНСОВОГО РЫНКА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1"/>
          <w:szCs w:val="21"/>
          <w:color w:val="006391"/>
        </w:rPr>
        <w:t>18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РАЗДЕЛ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3.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НАПРАВЛЕНИЯ РАЗВИТИЯ РОССИЙСКОГО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tabs>
          <w:tab w:leader="dot" w:pos="93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ФИНАНСОВОГО РЫНКА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25</w:t>
      </w:r>
    </w:p>
    <w:p>
      <w:pPr>
        <w:spacing w:after="0" w:line="88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Создание условий для усиления роли финансового рынка в финансировании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dot" w:pos="93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трансформации экономики при сохранении устойчивости финансового сектора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25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1.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Развитие инструментов долгосрочных сбережений и инвестиций для граждан</w:t>
      </w: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25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Развитие рынка капитала и иных механизмов для долгосрочного</w:t>
      </w:r>
    </w:p>
    <w:p>
      <w:pPr>
        <w:spacing w:after="0" w:line="9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финансирования экономического развития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28</w:t>
      </w:r>
    </w:p>
    <w:p>
      <w:pPr>
        <w:spacing w:after="0" w:line="60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Врезка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 выравнивании стимулов для инструментов финансирования бизнеса</w:t>
      </w:r>
      <w:r>
        <w:rPr>
          <w:rFonts w:ascii="Arial" w:cs="Arial" w:eastAsia="Arial" w:hAnsi="Arial"/>
          <w:sz w:val="18"/>
          <w:szCs w:val="18"/>
          <w:color w:val="auto"/>
        </w:rPr>
        <w:t>:</w:t>
      </w:r>
    </w:p>
    <w:p>
      <w:pPr>
        <w:spacing w:after="0" w:line="9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банковский кредит и рынок капитала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34</w:t>
      </w:r>
    </w:p>
    <w:p>
      <w:pPr>
        <w:spacing w:after="0" w:line="7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Развитие корпоративных отношений и корпоративного управления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раскрытие</w:t>
      </w:r>
    </w:p>
    <w:p>
      <w:pPr>
        <w:spacing w:after="0" w:line="9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информации</w:t>
      </w: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35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4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4.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Участие банков в финансировании экономического развития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37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5.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Расширение вклада финансового рынка в достижение целей устойчивого развития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40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4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6.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Развитие рынка страхования</w:t>
      </w: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7"/>
          <w:szCs w:val="17"/>
          <w:color w:val="auto"/>
        </w:rPr>
        <w:t>41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7.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Обеспечение устойчивости и развитие регулирования финансовых организаций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43</w:t>
      </w:r>
    </w:p>
    <w:p>
      <w:pPr>
        <w:spacing w:after="0" w:line="65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Защита прав потребителей финансовых услуг и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dot" w:pos="93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финансовой доступности для граждан и бизнеса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49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1.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Развитие и адаптация системы защиты прав потребителей финансовых услуг</w:t>
      </w:r>
    </w:p>
    <w:p>
      <w:pPr>
        <w:spacing w:after="0" w:line="9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и инвесторов с учетом изменений на финансовом рынке</w:t>
      </w: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49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Обеспечение защиты от противоправных деяний на финансовом рынке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52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Повышение финансовой и инвестиционной грамотности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финансовой</w:t>
      </w:r>
    </w:p>
    <w:p>
      <w:pPr>
        <w:spacing w:after="0" w:line="9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киберграмотности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формирование основ финансовой культуры и рационального поведения</w:t>
      </w: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54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4.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Повышение доступности качественных финансовых услуг для граждан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малого</w:t>
      </w:r>
    </w:p>
    <w:p>
      <w:pPr>
        <w:spacing w:after="0" w:line="9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и среднего бизнеса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Обеспечение инклюзивности финансового рынка</w:t>
      </w: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56</w:t>
      </w:r>
    </w:p>
    <w:p>
      <w:pPr>
        <w:spacing w:after="0" w:line="65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dot" w:pos="93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Цифровизация финансового рынка и развитие платежной инфраструктуры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60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1.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Развитие регулирования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60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Реализация инфраструктурных проектов</w:t>
      </w: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62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Регулирование экосистем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63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4.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Реализация мероприятий по развитию технологий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SupTech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RegTech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64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5.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Реализация экспериментальных правовых режимов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65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6.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Создание условий для безопасного внедрения цифровых</w:t>
      </w:r>
    </w:p>
    <w:p>
      <w:pPr>
        <w:spacing w:after="0" w:line="9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и платежных технологий и обеспечения технологического суверенитета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65</w:t>
      </w:r>
    </w:p>
    <w:p>
      <w:pPr>
        <w:spacing w:after="0" w:line="65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dot" w:pos="93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системы внешнеторговых платежей и расчетов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67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1.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Развитие международных платежей и расчетов</w:t>
      </w:r>
      <w:r>
        <w:rPr>
          <w:rFonts w:ascii="Arial" w:cs="Arial" w:eastAsia="Arial" w:hAnsi="Arial"/>
          <w:sz w:val="18"/>
          <w:szCs w:val="18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67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Конфигурация валютного регулирования и ограничений на движение капитала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68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Оптимизация системы ПОД</w:t>
      </w:r>
      <w:r>
        <w:rPr>
          <w:rFonts w:ascii="Arial" w:cs="Arial" w:eastAsia="Arial" w:hAnsi="Arial"/>
          <w:sz w:val="18"/>
          <w:szCs w:val="18"/>
          <w:color w:val="auto"/>
        </w:rPr>
        <w:t>/</w:t>
      </w:r>
      <w:r>
        <w:rPr>
          <w:rFonts w:ascii="Arial" w:cs="Arial" w:eastAsia="Arial" w:hAnsi="Arial"/>
          <w:sz w:val="18"/>
          <w:szCs w:val="18"/>
          <w:color w:val="auto"/>
        </w:rPr>
        <w:t>ФТ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69</w:t>
      </w:r>
    </w:p>
    <w:p>
      <w:pPr>
        <w:spacing w:after="0" w:line="65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dot" w:pos="93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3.5.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финансовой стабильности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70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1.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Снижение рисков для финансовой стабильности на валютном рынке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8"/>
          <w:szCs w:val="18"/>
          <w:color w:val="auto"/>
        </w:rPr>
        <w:t>70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Задача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Развитие макропруденциального регулирования и анализа системных рисков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9" w:lineRule="exact"/>
        <w:rPr>
          <w:sz w:val="20"/>
          <w:szCs w:val="20"/>
          <w:color w:val="auto"/>
        </w:rPr>
      </w:pPr>
    </w:p>
    <w:p>
      <w:pPr>
        <w:ind w:left="840"/>
        <w:spacing w:after="0"/>
        <w:tabs>
          <w:tab w:leader="dot" w:pos="94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Повышение качества данных в системе кредитной информации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71</w:t>
      </w:r>
    </w:p>
    <w:p>
      <w:pPr>
        <w:sectPr>
          <w:pgSz w:w="11900" w:h="16838" w:orient="portrait"/>
          <w:cols w:equalWidth="0" w:num="1">
            <w:col w:w="9640"/>
          </w:cols>
          <w:pgMar w:left="1140" w:top="1440" w:right="1126" w:bottom="911" w:gutter="0" w:footer="0" w:header="0"/>
        </w:sectPr>
      </w:pPr>
    </w:p>
    <w:bookmarkStart w:id="3" w:name="page4"/>
    <w:bookmarkEnd w:id="3"/>
    <w:p>
      <w:pPr>
        <w:spacing w:after="0" w:line="33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РАЗДЕЛ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4.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РИСКИ ДЛЯ РАЗВИТИЯ РОССИЙСКОГО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tabs>
          <w:tab w:leader="dot" w:pos="93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ФИНАНСОВОГО РЫНКА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73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spacing w:after="0"/>
        <w:tabs>
          <w:tab w:leader="dot" w:pos="93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ПРИЛОЖЕНИЯ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77</w:t>
      </w:r>
    </w:p>
    <w:p>
      <w:pPr>
        <w:spacing w:after="0" w:line="88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dot" w:pos="9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Приложение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Индикаторы мониторинга развития финансового рынка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77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Приложение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 реализации Основных направлений развития финансового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dot" w:pos="94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рынка Российской Федерации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81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dot" w:pos="93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Приложение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Документы по вопросам развития финансового рынка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89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dot" w:pos="94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Глоссарий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91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dot" w:pos="93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Список сокращений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95</w:t>
      </w:r>
    </w:p>
    <w:p>
      <w:pPr>
        <w:sectPr>
          <w:pgSz w:w="11900" w:h="16838" w:orient="portrait"/>
          <w:cols w:equalWidth="0" w:num="1">
            <w:col w:w="9640"/>
          </w:cols>
          <w:pgMar w:left="1140" w:top="1440" w:right="1126" w:bottom="1440" w:gutter="0" w:footer="0" w:header="0"/>
        </w:sectPr>
      </w:pPr>
    </w:p>
    <w:bookmarkStart w:id="4" w:name="page5"/>
    <w:bookmarkEnd w:id="4"/>
    <w:tbl>
      <w:tblPr>
        <w:tblLayout w:type="fixed"/>
        <w:tblInd w:w="534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38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38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38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ВВЕДЕНИЕ</w:t>
      </w:r>
    </w:p>
    <w:p>
      <w:pPr>
        <w:spacing w:after="0" w:line="260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93" w:lineRule="auto"/>
        <w:tabs>
          <w:tab w:leader="none" w:pos="201" w:val="left"/>
        </w:tabs>
        <w:numPr>
          <w:ilvl w:val="0"/>
          <w:numId w:val="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2023 – 2024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 российский финансовый рынок продолжил развиваться в условиях внешних ограничений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Ключевую роль в этом сыграли выбранные подходы на сохранение рыночных принципов и открытость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обеспечило гибкость и адаптивность системы в меняющихся условиях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основном завершен выход из регуляторных послаблений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введенных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Финансовые организации сохранили свою устойчивость в новых реалиях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структурных изменений в российской экономике требуются значительные ресурсы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на среднесрочном горизонте могут быть обеспечены в первую очередь за счет внутренних источников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финансовый рынок должен вносить свой вклад в формирование таких ресурсов через механизмы трансформации сбережений в инвестиции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Основные направления развития финансового рынка Российской Федерации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295" w:lineRule="auto"/>
        <w:tabs>
          <w:tab w:leader="none" w:pos="186" w:val="left"/>
        </w:tabs>
        <w:numPr>
          <w:ilvl w:val="0"/>
          <w:numId w:val="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период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ОНРФР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25 – 27)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основной среднесрочный документ по вопросам развития отечественного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Данный документ раскрывает основные цели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принципы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направления политики по развитию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ключевые задачи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будет решать Банк России совместно с Правительством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Основные направления развития финансового рынка готовятся на ежегодной основе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ОНРФР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25 – 27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сохранили преемственность с Основными направлениями развития финансового рынка Российской Федерации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 и период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уже во многом учитывали новые реалии и вызовы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стоящие перед российской экономикой на современном этапе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подготовке настоящего документа учитывались комментарии и предложения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делового и экспертного сообщества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4" w:lineRule="auto"/>
        <w:tabs>
          <w:tab w:leader="none" w:pos="201" w:val="left"/>
        </w:tabs>
        <w:numPr>
          <w:ilvl w:val="0"/>
          <w:numId w:val="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ОНРФР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25 – 27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выделены пять ключевых направлений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создание условий для усиления роли финансового рынка в финансировании трансформации экономики при сохранении устойчивости финансового сектора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защита прав потребителей финансовых услуг и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финансовой доступности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цифровизация финансового рынка и развитие платежной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системы внешнеторговых платежей и расчетов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jc w:val="both"/>
        <w:ind w:left="6" w:right="7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повышения роли финансового рынка в формировании долгосрочных ресурсов важно расширение предложения всеми его сегментами качественных продуктов и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120" w:hanging="6"/>
        <w:spacing w:after="0" w:line="292" w:lineRule="auto"/>
        <w:tabs>
          <w:tab w:leader="none" w:pos="174" w:val="left"/>
        </w:tabs>
        <w:numPr>
          <w:ilvl w:val="0"/>
          <w:numId w:val="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том числе для долгосрочных сбережений и инвестиций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отвечающих потребностям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особое значение имеет развитие рынка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первую очередь долевого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является наиболее долгосрочным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Важным условием для развития рынка капитала и финансового рынка в целом является укрепление доверия к нему</w:t>
      </w:r>
    </w:p>
    <w:p>
      <w:pPr>
        <w:ind w:left="6" w:right="60"/>
        <w:spacing w:after="0" w:line="293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его участников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значимыми направлениями работы остаются обеспечение защиты прав потребителей финансовых услуг и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миноритарных акционеров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качества корпоративного управления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предоставление доступа к необходимой для принятия инвестиционных решений информации об эмитентах и инструментах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будет способствовать принятию потребителями финансовых услуг и инвесторами обоснованных финансовых 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 конечном счете будет способствовать формированию благоприятных условий для повышения благосостояния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одним из значимых механизмов привлечения инвестиций в важные для нашей страны проекты могут стать инструменты финансирования устойчивого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3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Сохраняет свою актуальность и вектор на цифровизацию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требует продолжения работы по совершенствованию необходимого правового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созданию условий для безопасного внедрения цифровых и платежных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важно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759" w:gutter="0" w:footer="0" w:header="0"/>
        </w:sectPr>
      </w:pPr>
    </w:p>
    <w:bookmarkStart w:id="5" w:name="page6"/>
    <w:bookmarkEnd w:id="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20" w:type="dxa"/>
            <w:vAlign w:val="bottom"/>
            <w:vMerge w:val="restart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89"/>
              </w:rPr>
              <w:t>2</w:t>
            </w: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1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Введение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7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развивать и адаптировать 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оборудование и программное обеспечение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действующих ограничений на их ввоз и обслуживание в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7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Другое значимое направление работы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выстраивание внешнеторговых и финансовых отношений со странами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партнерами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необходимых для этого финансовой инфраструктуры и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7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залогом устойчивого и бесперебойного функционирования финансового рынка является системная финансовая стабильность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будет уделять внимание развитию подходов к мониторингу и ограничению системных рисков в новых условиях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совершенствованию инструментов обеспечения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наряду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301" w:lineRule="auto"/>
        <w:tabs>
          <w:tab w:leader="none" w:pos="177" w:val="left"/>
        </w:tabs>
        <w:numPr>
          <w:ilvl w:val="0"/>
          <w:numId w:val="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поддержанием стабильно низкой инфляции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является необходимым условием для нормальной работы финансового рынка и экономики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Финансовый рынок является неотъемлемой частью экономической 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его развитие во многом зависит от модели развития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подходов к решению стоящих перед ней задач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и Правительство Российской Федерации вносят вклад в развитие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прежде всего формируя необходимые для этого условия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Наряду с наличием широкого инструментария и выстроенной системы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развития финансового рынка также важны защита прав собственности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эффективность судебной 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конкурентная среда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снижение административных барьеров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предсказуемость налоговых условий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особое значение имеет вклад каждого участника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готовность финансовых организаций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480" w:hanging="6"/>
        <w:spacing w:after="0" w:line="295" w:lineRule="auto"/>
        <w:tabs>
          <w:tab w:leader="none" w:pos="186" w:val="left"/>
        </w:tabs>
        <w:numPr>
          <w:ilvl w:val="0"/>
          <w:numId w:val="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бизнеса адаптироваться под быстро меняющиеся условия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вырабатывать необходимые решения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выстраивать долгосрочные отношения с клиентами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формировать доверительную среду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повышать качество и увеличивать ценность предоставляемых финансовых продуктов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инструментов и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документ подготовлен исходя из следующих предпосылок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применение преимущественно рыночных методов и подходов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которым отдается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предпочтение как наиболее эффективным в решении стоящих задач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приоритет интересов потребителей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российской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экономики в целом как конечных бенефициаров развития финансового рынка при определении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целей и задач его развития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сохранение открытости российской экономики с перспективой расширения внешнеторговых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финансовых отношений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принятие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поддержку и развитие экономики 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учетом их влияния на конкурентную среду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сохранение или усиление роли государства только в тех сферах и при решении тех задач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80" w:hanging="6"/>
        <w:spacing w:after="0" w:line="301" w:lineRule="auto"/>
        <w:tabs>
          <w:tab w:leader="none" w:pos="177" w:val="left"/>
        </w:tabs>
        <w:numPr>
          <w:ilvl w:val="0"/>
          <w:numId w:val="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которыми рынок не может справиться эффективно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которые имеют большое значение для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546"/>
          </w:cols>
          <w:pgMar w:left="1134" w:top="660" w:right="1226" w:bottom="1440" w:gutter="0" w:footer="0" w:header="0"/>
        </w:sectPr>
      </w:pPr>
    </w:p>
    <w:bookmarkStart w:id="6" w:name="page7"/>
    <w:bookmarkEnd w:id="6"/>
    <w:tbl>
      <w:tblPr>
        <w:tblLayout w:type="fixed"/>
        <w:tblInd w:w="534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378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378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378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6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РАЗДЕЛ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1.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ЦЕЛИ</w:t>
      </w:r>
      <w:r>
        <w:rPr>
          <w:rFonts w:ascii="Arial" w:cs="Arial" w:eastAsia="Arial" w:hAnsi="Arial"/>
          <w:sz w:val="32"/>
          <w:szCs w:val="32"/>
          <w:color w:val="006391"/>
        </w:rPr>
        <w:t>,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ПРИНЦИПЫ И МЕХАНИЗМЫ ПОЛИТИКИ ПО РАЗВИТИЮ РОССИЙСКОГО ФИНАНСОВОГО РЫНКА</w: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jc w:val="both"/>
        <w:ind w:left="6" w:right="8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одна из целей деятельности Банка России в соответствии с Федеральным законом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О Центральном банке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Банке России</w:t>
      </w:r>
      <w:r>
        <w:rPr>
          <w:rFonts w:ascii="Arial" w:cs="Arial" w:eastAsia="Arial" w:hAnsi="Arial"/>
          <w:sz w:val="20"/>
          <w:szCs w:val="20"/>
          <w:color w:val="auto"/>
        </w:rPr>
        <w:t>)»</w:t>
      </w:r>
      <w:r>
        <w:rPr>
          <w:rFonts w:ascii="Arial" w:cs="Arial" w:eastAsia="Arial" w:hAnsi="Arial"/>
          <w:sz w:val="11"/>
          <w:szCs w:val="11"/>
          <w:color w:val="auto"/>
        </w:rPr>
        <w:t>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300" w:hanging="6"/>
        <w:spacing w:after="0" w:line="301" w:lineRule="auto"/>
        <w:tabs>
          <w:tab w:leader="none" w:pos="210" w:val="left"/>
        </w:tabs>
        <w:numPr>
          <w:ilvl w:val="0"/>
          <w:numId w:val="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2013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Банк России является мегарегулятором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есть выполняет одновременно функции центрального банка и регулятора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Разработку и реализацию политики по развитию финансового рынка осуществляют совместно Банк России и Правительство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современных условиях ключевым приоритетом остается повышение вклада финансового рынка в финансирование структурной трансформации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прежде всего на основе внутренних ресурсов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и Правительство Российской Федерации продолжат создавать необходимые макроэкономические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институциональные и правовые условия для формирования внутренних долгосрочных сбережений и перетока сбережений в инвестиции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необходимо также повышать привлекательность российского финансового рынка и для иностранных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Важным фактором развития финансового рынка является взвешенная и последовательная макроэкономическая политика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основе которой лежит ценовая и финансовая стабильность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260" w:hanging="6"/>
        <w:spacing w:after="0" w:line="293" w:lineRule="auto"/>
        <w:tabs>
          <w:tab w:leader="none" w:pos="173" w:val="left"/>
        </w:tabs>
        <w:numPr>
          <w:ilvl w:val="0"/>
          <w:numId w:val="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устойчивость государственных финансов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и Правительство Российской Федерации участвуют в формировании инфраструктуры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особенно в тех случаях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рыночные силы с этим не справляются и когда это необходимо для создания здоровой конкурентной среды и развития инноваций или если это имеет важное значение для преодоления кризисных явлений и достижения финансового суверенитета страны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Повышенное внимание также уделяется сохранению доверия к институтам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защите прав инвесторов и потребителей финансовых услуг и формированию в обществе основ финансово грамотного поведения и в перспективе финансовой культуры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Хотя Банк России и Правительство Российской Федерации занимают активную позицию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292" w:lineRule="auto"/>
        <w:tabs>
          <w:tab w:leader="none" w:pos="174" w:val="left"/>
        </w:tabs>
        <w:numPr>
          <w:ilvl w:val="0"/>
          <w:numId w:val="1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результат в значительной мере зависит от стратегий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культуры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мотивации его участников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действующих в конкурентной среде по рыночным принципам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38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таких условиях участники финансового рынка во взаимодействии друг с другом сами выбирают оптимальные цепочки трансформации сбережений в инвестиции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каналы и форматы обслуживания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определяют востребованность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следовательно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перспективы развития тех или иных продуктов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сервисов и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00" w:hanging="6"/>
        <w:spacing w:after="0" w:line="294" w:lineRule="auto"/>
        <w:tabs>
          <w:tab w:leader="none" w:pos="210" w:val="left"/>
        </w:tabs>
        <w:numPr>
          <w:ilvl w:val="0"/>
          <w:numId w:val="1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учетом этого Банк России и Правительство Российской Федерации активно вовлекают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есть представителей финансового и реального секторов и их объединения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экспертное сообщество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разработку и реализацию планов по развитию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обеспечивают информационную открытость в отношении целей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принципов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задач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достигнутых результатов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таким образом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создавая ориентиры для финансовых посредников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бизнеса и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Достижение целей по развитию финансового рынка будет способствовать структурной трансформации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экономической и технологической независимости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макроэкономической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развитию финансовой инфраструктуры и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Прозрачность и транспарентность политики по развитию финансового рынка будут содействовать свободе частных инициатив в сфере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408940</wp:posOffset>
                </wp:positionV>
                <wp:extent cx="1259840" cy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2.2pt" to="99.2pt,32.2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1" w:lineRule="exact"/>
        <w:rPr>
          <w:sz w:val="20"/>
          <w:szCs w:val="20"/>
          <w:color w:val="auto"/>
        </w:rPr>
      </w:pPr>
    </w:p>
    <w:p>
      <w:pPr>
        <w:ind w:left="86" w:hanging="86"/>
        <w:spacing w:after="0" w:line="184" w:lineRule="exact"/>
        <w:tabs>
          <w:tab w:leader="none" w:pos="86" w:val="left"/>
        </w:tabs>
        <w:numPr>
          <w:ilvl w:val="0"/>
          <w:numId w:val="1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Статья 3 Федерального закона от 10.07.2002 № 86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Центральном банке Российской Федерации (Банке России)».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bookmarkStart w:id="7" w:name="page8"/>
    <w:bookmarkEnd w:id="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20" w:type="dxa"/>
            <w:vAlign w:val="bottom"/>
            <w:vMerge w:val="restart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</w:t>
            </w: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Роль финансового рынка в экономическом развитии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Российская экономика и финансовый рынок функционируют в условиях широкого спектра вызовов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5" w:lineRule="auto"/>
        <w:tabs>
          <w:tab w:leader="none" w:pos="170" w:val="left"/>
        </w:tabs>
        <w:numPr>
          <w:ilvl w:val="0"/>
          <w:numId w:val="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первую очередь беспрецедентного санкционного давления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перед нашей страной стоят масштабные задачи по структурной трансформации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достижению технологической независимости и переориентации международных экономических связей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Трансформация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свою очередь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связана со значительно возросшими потребностями в финансировании структурных изменений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финансового рынка будет способствовать модернизации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предоставляя возможность для домашних хозяйств и бизнеса использовать финансовые продукты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инструменты</w:t>
      </w:r>
    </w:p>
    <w:p>
      <w:pPr>
        <w:ind w:left="6" w:right="800" w:hanging="6"/>
        <w:spacing w:after="0" w:line="309" w:lineRule="auto"/>
        <w:tabs>
          <w:tab w:leader="none" w:pos="182" w:val="left"/>
        </w:tabs>
        <w:numPr>
          <w:ilvl w:val="0"/>
          <w:numId w:val="1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услуги для решения стоящих задач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реализации деловых и личных планов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Поэтому важно обеспечить выполнение финансовым рынком его ключевых функций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Финансовый рынок создает возможности для трансформации накопленных сбережений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3" w:lineRule="auto"/>
        <w:tabs>
          <w:tab w:leader="none" w:pos="157" w:val="left"/>
        </w:tabs>
        <w:numPr>
          <w:ilvl w:val="0"/>
          <w:numId w:val="1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источники долгового и долевого финансирования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способствуя экономическому развитию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на финансовом рынке представлен широкий набор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способствующих перетоку накопленных сбережений в инвестиции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Финансовый рынок предлагает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отвечающие потребностям бизнеса как в краткосрочном финансировании для пополнения оборотных средств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в долгосрочных ресурсах для инвестиционных проектов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20"/>
        <w:spacing w:after="0" w:line="293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на финансовом рынке могут развиваться инструменты финансирования для предприятий на разных стадиях жизненного цикла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 зарождения бизнеса до публичной компании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Самостоятельным участником финансового рынка также является государство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может выступать как эмитентом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кредитором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инвестором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особенно при финансировании проектов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развитие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даже низкомаржинальных и высокорисковых на краткосрочном горизонте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 среднесрочной перспективе делает экономическую систему более устойчивой и способствует улучшению профиля рисков экономики и финансового сектора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Комбинированная модель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где полноценно представлены и банковский сектор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рынок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обеспечивает формирование на финансовом рынке наиболее широкого спектра инструментов и механизмов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способных удовлетворить потребности различных категорий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заемщиков и эмитентов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развитый рынок капитала играет основную роль в формировании долгосрочных финансовых ресурсов в экономике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Долевое финансирование по своей сути является бессрочным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7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Выполняя функцию по трансформации сбережений в инвестиции на рыночных условиях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финансовый рынок способствует эффективному распределению и использованию ресурсов</w:t>
      </w:r>
    </w:p>
    <w:p>
      <w:pPr>
        <w:ind w:left="6" w:right="100" w:hanging="6"/>
        <w:spacing w:after="0" w:line="292" w:lineRule="auto"/>
        <w:tabs>
          <w:tab w:leader="none" w:pos="170" w:val="left"/>
        </w:tabs>
        <w:numPr>
          <w:ilvl w:val="0"/>
          <w:numId w:val="1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экономике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свою очередь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решения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институциональных и частных инвесторов о предоставлении долгового и долевого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 горизонте вложений принимаются на основе комплекса факторов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наличие широкой линейки финансовых инструментов для удовлетворения потребностей субъектов экономики в финансовых услугах и сервисах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выстроенная система регулирования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как финансовые институты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нефинансовые организации должны обеспечивать свою устойчивость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прозрачность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четкость стратегии развития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должны быть нацелены на выстраивание долгосрочных доверительных отношений с потребителями финансовых продуктов и услуг и инвесторами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Все это способствует формированию доверия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Вместе с 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наряду с указанными факторами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устойчивость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доверие всех субъектов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возможность планировать на перспективу во многом зависят от общих экономических и институциональных условий в стране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таких как ценовая и финансовая стабильность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устойчивость государственных финансов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уровень доходов участников экономических отношений и наличие у них средств для формирования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4" w:gutter="0" w:footer="0" w:header="0"/>
        </w:sectPr>
      </w:pPr>
    </w:p>
    <w:bookmarkStart w:id="8" w:name="page9"/>
    <w:bookmarkEnd w:id="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12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412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412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6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сбережений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предсказуемость налоговых условий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конкурентная среда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снижение административных барьеров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защита прав собственности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эффективность судебной системы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Несмотря на санкционные ограничения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российский финансовый рынок остается частью международной финансовой системы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Поэтому через финансовый рынок может происходить финансирование инвестиций не только за счет внутренних ресурсов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путем привлечения иностранного капитала из стран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партнеров в российскую экономику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необходимо создавать благоприятные условия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ближайшем горизонте объем таких инвестиций будет небольшим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в перспективе иностранные инвестиции могут быть одним из источников финансирования российской экономики в дополнение к внутренним ресурсам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Финансовый рынок дает возможность потребителям финансовых услуг эффективно удовлетворять свои жизненные потребности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за счет перераспределения доходов во времени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управления своими сбережениями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инвестициями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расходами и рисками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соответствии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3" w:lineRule="auto"/>
        <w:tabs>
          <w:tab w:leader="none" w:pos="162" w:val="left"/>
        </w:tabs>
        <w:numPr>
          <w:ilvl w:val="0"/>
          <w:numId w:val="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поставленными целями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помощи инструментов сбережения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инвестирования и заимствования и при их грамотном использовании граждане могут эффективно решать вопросы приобретения жилья и товаров длительного пользования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поддерживать определенный уровень потребления в случае колебаний доходов и после выхода на пенсию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откладывать средства для совершения крупных расходов в непредвиденных ситуациях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 зависимости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4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 предпочтений и потребностей граждане могут выбрать инструменты с разным горизонтом инвестирования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профилем риска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доходностью и ликвидностью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Традиционные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относительно простые инструменты для сбережений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прежде всего банковские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депозиты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защищенные системой страхования вкладов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характеризуются низким уровнем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риска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правило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приносят умеренный доход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обеспечивающий в основном сохранность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покупательной способности вложений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Они отличаются относительной простотой использования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не требуют специальной квалификации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Такие инструменты в том числе подходят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формирования так называемой подушки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есть сбережений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которых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ликвидность и высокая сохранность вложений более важны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чем доходность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Инструменты рынка капитала могут принести более высокий доход по сравнению с инструментами сбережений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позволяя приумножить вложения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они сопряжены и с более высоким риском неполучения дохода или потери инвестированных средств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таких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правило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экономически более оправдано на длинном горизонте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Долгосрочные стратегии вложения денежных средств на рынке капитала имеют свою специфику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принося положительную реальную доходность именно на продолжительных периодах времени при возможных колебаниях результатов инвестирования на краткосрочном горизонте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эффективного использования инструментов рынка капитала необходимо получение специальных знаний и навыков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помогает сориентироваться в существующих инвестиционных инструментах и выбрать оптимальные продукты с учетом соотношения риска и доходности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00" w:hanging="6"/>
        <w:spacing w:after="0" w:line="294" w:lineRule="auto"/>
        <w:tabs>
          <w:tab w:leader="none" w:pos="169" w:val="left"/>
        </w:tabs>
        <w:numPr>
          <w:ilvl w:val="0"/>
          <w:numId w:val="1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целей инвестирования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Поэтому для неквалифицированного инвестора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не желает или не имеет возможности погружаться в специфику и контекст операций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предпочтительны пассивные инвестиционные стратегии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передача средств в доверительное управление профессиональным участникам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использование услуг инвестиционных советников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Наряду с осуществлением сбережений и инвестиций граждане также могут обращаться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 кредитами и займами для удовлетворения своих текущих потребностей в товарах и услугах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301" w:lineRule="auto"/>
        <w:tabs>
          <w:tab w:leader="none" w:pos="170" w:val="left"/>
        </w:tabs>
        <w:numPr>
          <w:ilvl w:val="0"/>
          <w:numId w:val="1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счет будущих доходов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раньше начинать реализацию таких крупных личных и семейных планов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покупка жилья или финансирование образования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инструменты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913" w:gutter="0" w:footer="0" w:header="0"/>
        </w:sectPr>
      </w:pPr>
    </w:p>
    <w:bookmarkStart w:id="9" w:name="page10"/>
    <w:bookmarkEnd w:id="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20" w:type="dxa"/>
            <w:vAlign w:val="bottom"/>
            <w:vMerge w:val="restart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</w:t>
            </w: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jc w:val="both"/>
        <w:ind w:left="6" w:right="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заимствования способствуют благополучию граждан только в случае соблюдения финансовой дисциплины и недопущения чрезмерного роста задолженности относительно получаемых доходов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Финансовый рынок предоставляет участникам экономических отношений инструменты управления рисками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таким финансовым инструментам в первую очередь относятся различные виды страхования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производные финансовые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Они позволяют предприятиям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4" w:lineRule="auto"/>
        <w:tabs>
          <w:tab w:leader="none" w:pos="182" w:val="left"/>
        </w:tabs>
        <w:numPr>
          <w:ilvl w:val="0"/>
          <w:numId w:val="2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предпринимателям снизить неопределенность в их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гражданам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воспользоваться услугами страхования рисков в различных жизненных ситуациях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того чтобы инструменты страхования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хеджирования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рисков служили поставленным целям и задачам по минимизации возможных потерь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пользователи понимали специфику их применения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важно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финансовые посредники предлагали своим клиентам продукты с учетом клиентских предпочтений и профиля риска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Важные факторы эффективной работы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доверие и конкурентное взаимодействие между участниками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снижает риски нерыночного ценообразования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ограничивающего эффективность работы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способствует сокращению издержек потребителей и поставщиков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повышению доступности и качества финансовых продуктов и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формирования доверия на финансовом рынке важное значение имеют следующие факторы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доверие к национальной валюте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обеспечивается поддержанием ценовой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финансовой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макроэкономической стабильности в целом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устойчивость финансовых организаций и оказание ими финансовых услуг высокого качества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соблюдение прав потребителей финансовых услуг и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миноритарных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акционеров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которыми могут выступать как частные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институциональные инвесторы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 собственности добросовестных приобретателей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высокий уровень корпоративного управления и корпоративных отношений в компаниях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эмитентах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высокий уровень защиты от недобросовестных практик и мошенничества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наличие доступной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качественной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заслуживающей доверия информации на финансовом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рынке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о его участниках и общерыночных индикаторах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о макроэкономических данных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финансовому сектору и экономике в 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используются для анализа и принятия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решений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бесперебойное функционирование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14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осведомленность об инструментах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понимание возможностей их использования и связанных с ними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Внедрение новых технологий и поддержка инноваций на финансовом рынке способствуют повышению доступности различных видов финансовых и платежных инструментов для граждан</w:t>
      </w:r>
    </w:p>
    <w:p>
      <w:pPr>
        <w:ind w:left="6" w:right="880" w:hanging="6"/>
        <w:spacing w:after="0" w:line="292" w:lineRule="auto"/>
        <w:tabs>
          <w:tab w:leader="none" w:pos="169" w:val="left"/>
        </w:tabs>
        <w:numPr>
          <w:ilvl w:val="0"/>
          <w:numId w:val="2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развитию конкуренции и появлению новых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моделей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повышению производительности труда и в конечном счете вносят вклад в структурную трансформацию</w:t>
      </w:r>
    </w:p>
    <w:p>
      <w:pPr>
        <w:ind w:left="6" w:right="60" w:hanging="6"/>
        <w:spacing w:after="0" w:line="295" w:lineRule="auto"/>
        <w:tabs>
          <w:tab w:leader="none" w:pos="169" w:val="left"/>
        </w:tabs>
        <w:numPr>
          <w:ilvl w:val="0"/>
          <w:numId w:val="2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Хотя внедрение инноваций часто требует инвестиций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небольшие формы бизнеса на финансовом рынке могут развиваться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активно используя аутсорсинг</w:t>
      </w: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предлагая интересные для клиентов продукты и сервисы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Выполняя вышеперечисленные функции и предоставляя участникам экономических отношений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сберечь и приумножить накопления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занять средства и застраховать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финансовый рынок становится значимым сектором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внося вклад в экономический рост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создавая новые рабочие места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увеличивая налоговые поступления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формируя спрос на инновации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способствуя диверсификации экономики и повышению эффективности использования доступных финансовых ресурсов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выполнение финансовым рынком всех своих функций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финансовая стабильность и устойчивость финансовых организаций сохраняют свою актуальность вне зависимости от внешнеполитической и внешнеэкономической конъюнктуры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4" w:gutter="0" w:footer="0" w:header="0"/>
        </w:sectPr>
      </w:pPr>
    </w:p>
    <w:bookmarkStart w:id="10" w:name="page11"/>
    <w:bookmarkEnd w:id="1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12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412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4120" w:type="dxa"/>
            <w:vAlign w:val="bottom"/>
          </w:tcPr>
          <w:p>
            <w:pPr>
              <w:jc w:val="right"/>
              <w:ind w:righ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6" w:right="1860"/>
        <w:spacing w:after="0" w:line="26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Роль макроэкономической стабильности в развитии финансового рынка</w:t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и Правительство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проводя последовательную и взвешенную политику в рамках своих функций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формируют предсказуемые макроэкономические условия посредством достижения системной финансовой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ценовой стабильности и устойчивости государственных финансов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Такая стабильность внутренних условий особенно важна для развития как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экономики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сохраняет приверженность режиму таргетирования инфляции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цель 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кредитной политики остается неизменной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поддержание годовой инфляции вблизи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4%</w:t>
      </w:r>
      <w:r>
        <w:rPr>
          <w:rFonts w:ascii="Arial" w:cs="Arial" w:eastAsia="Arial" w:hAnsi="Arial"/>
          <w:sz w:val="11"/>
          <w:szCs w:val="11"/>
          <w:color w:val="auto"/>
        </w:rPr>
        <w:t>2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Низкая и стабильная инфляция делает экономические условия в целом более предсказуемыми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обеспечивает уверенность компаний и граждан при осуществлении финансового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2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инвестиционного планирования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влияя на решения домашних хозяйств о размере текущего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0" w:hanging="6"/>
        <w:spacing w:after="0" w:line="294" w:lineRule="auto"/>
        <w:tabs>
          <w:tab w:leader="none" w:pos="186" w:val="left"/>
        </w:tabs>
        <w:numPr>
          <w:ilvl w:val="0"/>
          <w:numId w:val="2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будущего потребления и на решения бизнеса о расширении производства и об инвестициях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Ценовая стабильность также способствует доступности долгового и долевого финансирования за счет формирования долгосрочных процентных ставок финансового рынка на стабильно более низких уровнях путем снижения премии за риск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связанный с колебаниями инфляции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свою очередь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развитый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являясь частью трансмиссионного механизма 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кредитной политики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способствует более быстрому воздействию ключевой ставки центрального банка на структуру процентных ставок в экономике и совокупный спрос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Таким образом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развитый финансовый рынок способствует повышению действенности 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кредитной политики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ind w:left="6" w:right="5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Финансовая стабильность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устойчивость реального и финансового секторов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участников финансового рынка необходимы для бесперебойного функционирования финансового рынка</w:t>
      </w:r>
    </w:p>
    <w:p>
      <w:pPr>
        <w:ind w:left="6" w:right="40" w:hanging="6"/>
        <w:spacing w:after="0" w:line="293" w:lineRule="auto"/>
        <w:tabs>
          <w:tab w:leader="none" w:pos="173" w:val="left"/>
        </w:tabs>
        <w:numPr>
          <w:ilvl w:val="0"/>
          <w:numId w:val="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экономики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Ограничение накопления системных рисков позволяет снизить вероятность возникновения финансовых кризисов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повысить определенность для участников финансового рынка и обеспечить бесперебойное проведение платежей и трансформацию сбережений в инвестиции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неблагоприятного развития ситуации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под влиянием внешних факторов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меры по поддержанию финансовой стабильности позволяют финансовому сектору продолжать выполнять свои основные функции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снижают негативные эффекты для реального сектора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Все это способствует повышению доверия к финансовому рынку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его привлекательности для всех групп участников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Системная финансовая стабильность обеспечивается прежде всего мерами макропруденциальной политики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микропруденциального регулирования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ограничения на движение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сыграли определенную роль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3" w:lineRule="auto"/>
        <w:tabs>
          <w:tab w:leader="none" w:pos="174" w:val="left"/>
        </w:tabs>
        <w:numPr>
          <w:ilvl w:val="0"/>
          <w:numId w:val="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поддержании финансовой стабильности в острую фазу введения санкций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были в значительной мере сняты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учитывая издержки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сложности для внешнеторговых и финансовых расчетов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они создают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Сохранение отдельных ограничений может быть оправдано как контрсанкционная мера в ответ на недружественные действия отдельных стран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Вместе с тем необходима всесторонняя оценка издержек для бизнеса и развития экономики в 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доверия национальных и иностранных инвесторов и масштаба реального контрсанкционного эффекта таких ограничений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целом ограничения на движение капитала должны иметь ограниченный во времени характер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в перспективе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мере адаптации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>,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отменены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не создавать препятствий для внешнеэкономической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363855</wp:posOffset>
                </wp:positionV>
                <wp:extent cx="1259840" cy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8.65pt" to="99.2pt,28.6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0" w:lineRule="exact"/>
        <w:rPr>
          <w:sz w:val="20"/>
          <w:szCs w:val="20"/>
          <w:color w:val="auto"/>
        </w:rPr>
      </w:pPr>
    </w:p>
    <w:p>
      <w:pPr>
        <w:ind w:left="106" w:right="140" w:hanging="106"/>
        <w:spacing w:after="0" w:line="254" w:lineRule="auto"/>
        <w:tabs>
          <w:tab w:leader="none" w:pos="106" w:val="left"/>
        </w:tabs>
        <w:numPr>
          <w:ilvl w:val="0"/>
          <w:numId w:val="25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о денежно</w:t>
      </w:r>
      <w:r>
        <w:rPr>
          <w:rFonts w:ascii="Arial" w:cs="Arial" w:eastAsia="Arial" w:hAnsi="Arial"/>
          <w:sz w:val="16"/>
          <w:szCs w:val="16"/>
          <w:color w:val="auto"/>
        </w:rPr>
        <w:t>-</w:t>
      </w:r>
      <w:r>
        <w:rPr>
          <w:rFonts w:ascii="Arial" w:cs="Arial" w:eastAsia="Arial" w:hAnsi="Arial"/>
          <w:sz w:val="16"/>
          <w:szCs w:val="16"/>
          <w:color w:val="auto"/>
        </w:rPr>
        <w:t>кредитной политике см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в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15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Основных направлениях единой государственной денежно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-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кредитной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15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политики на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2025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год и период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2026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и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2027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годов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(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ОНЕГДКП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2025 – 2027)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  <w:type w:val="continuous"/>
        </w:sectPr>
      </w:pPr>
    </w:p>
    <w:bookmarkStart w:id="11" w:name="page12"/>
    <w:bookmarkEnd w:id="1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20" w:type="dxa"/>
            <w:vAlign w:val="bottom"/>
            <w:vMerge w:val="restart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</w:t>
            </w: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1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Взвешенный и предсказуемый подход к управлению государственными финансами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внутренним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00" w:hanging="6"/>
        <w:spacing w:after="0" w:line="292" w:lineRule="auto"/>
        <w:tabs>
          <w:tab w:leader="none" w:pos="173" w:val="left"/>
        </w:tabs>
        <w:numPr>
          <w:ilvl w:val="0"/>
          <w:numId w:val="2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внешним государственным долгом имеет важное значение как для стабильности финансового рынка и макроэкономических условий в 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непосредственно для формирования краткосрочных и долгосрочных процентных ставок в экономике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страновой премии за риск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Одним из ключевых элементов сбалансированной бюджетной политики Российской Федерации является подход на основе бюджетных правил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Наличие бюджетного правила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увязывает расходы бюджета с объемом базовых нефтегазовых доходов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снижает неопределенность в экономике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обеспечивает предсказуемость бюджетных расходов и создает б</w:t>
      </w:r>
      <w:r>
        <w:rPr>
          <w:rFonts w:ascii="Arial" w:cs="Arial" w:eastAsia="Arial" w:hAnsi="Arial"/>
          <w:sz w:val="20"/>
          <w:szCs w:val="20"/>
          <w:color w:val="auto"/>
        </w:rPr>
        <w:t>ó</w:t>
      </w:r>
      <w:r>
        <w:rPr>
          <w:rFonts w:ascii="Arial" w:cs="Arial" w:eastAsia="Arial" w:hAnsi="Arial"/>
          <w:sz w:val="20"/>
          <w:szCs w:val="20"/>
          <w:color w:val="auto"/>
        </w:rPr>
        <w:t>льшую макроэкономическую стабильность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вносит вклад в поддержание ценовой</w:t>
      </w:r>
    </w:p>
    <w:p>
      <w:pPr>
        <w:spacing w:after="0" w:line="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40" w:hanging="6"/>
        <w:spacing w:after="0" w:line="293" w:lineRule="auto"/>
        <w:tabs>
          <w:tab w:leader="none" w:pos="186" w:val="left"/>
        </w:tabs>
        <w:numPr>
          <w:ilvl w:val="0"/>
          <w:numId w:val="2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формировании подходов к государственным заимствованиям необходимо учитывать риски вытеснения государственным долгом частных заимствований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свою очередь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влиять на доступность привлечения бизнесом финансирования на рынке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Отдельные меры бюджетной политики могут быть задействованы для создания дополнительных стимулов для развития тех или иных инструментов или сегментов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на этапах их становления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важно не допускать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такие меры из инструментов временной поддержки превращались в определяющий фактор долгосрочного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Возможности и ограничения финансового рынка</w:t>
      </w: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Содействуя экономическому росту и развитию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сам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его состояние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масштаб и разнообразие выполняемых функций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свою очередь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являются отражением развитости экономики страны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инвестиционного климата и качества ее институтов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Показатели финансового рынка в целом и его сегментов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востребованность тех или иных финансовых продуктов и услуг также значимо зависят от ряда факторов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влияющих на развитие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лежащих за его периметром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числу таких факторов относятся уровень благосостояния и динамика доходов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доверие к государственным</w:t>
      </w:r>
    </w:p>
    <w:p>
      <w:pPr>
        <w:ind w:left="6" w:right="620" w:hanging="6"/>
        <w:spacing w:after="0" w:line="296" w:lineRule="auto"/>
        <w:tabs>
          <w:tab w:leader="none" w:pos="186" w:val="left"/>
        </w:tabs>
        <w:numPr>
          <w:ilvl w:val="0"/>
          <w:numId w:val="2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частным институтам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постоянство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налогового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защита прав собственности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 инвесторов и акционеров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качество судебной защиты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обеспеченность квалифицированными кадрами и иные структурные и институциональные аспекты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Финансовый рынок создает возможности для долгосрочных сбережений и их трансформации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00" w:hanging="6"/>
        <w:spacing w:after="0" w:line="294" w:lineRule="auto"/>
        <w:tabs>
          <w:tab w:leader="none" w:pos="161" w:val="left"/>
        </w:tabs>
        <w:numPr>
          <w:ilvl w:val="0"/>
          <w:numId w:val="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инвестиции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формирует предпосылки для экономического роста и повышения благосостояния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не может быть основным или единственным драйвером этих процессов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Позитивный вклад финансового рынка в развитие экономики проявляется прежде всего в совокупности с преодолением структурных барьеров для экономического роста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увеличением производительности труда и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ростом доступности современных технологий и оборудования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повышением эффективности экономики и потенциала ее развития в 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настройкой правовых и иных институтов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созданием предсказуемых условий экономической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 инструментов финансового рынка для развития бизнеса и решения жизненных задач домашними хозяйствами может быть устойчивым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только если заемные средства подкреплены вложением собственных ресурсов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формируемая сегодня задолженность может быть покрыта будущими доходами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инвестиционно ориентированного экономического роста необходимы не только длинные ресурсы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наличие привлекательных для инвесторов направлений вложения этих средств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компаний с прозрачной долгосрочной стратегией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эффективной деятельностью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качественным корпоративным управлением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рассматривают инвестора как полноправного партнера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838" w:gutter="0" w:footer="0" w:header="0"/>
        </w:sectPr>
      </w:pPr>
    </w:p>
    <w:bookmarkStart w:id="12" w:name="page13"/>
    <w:bookmarkEnd w:id="1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100" w:type="dxa"/>
            <w:vAlign w:val="bottom"/>
          </w:tcPr>
          <w:p>
            <w:pPr>
              <w:jc w:val="right"/>
              <w:ind w:righ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4100" w:type="dxa"/>
            <w:vAlign w:val="bottom"/>
          </w:tcPr>
          <w:p>
            <w:pPr>
              <w:jc w:val="right"/>
              <w:ind w:righ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4100" w:type="dxa"/>
            <w:vAlign w:val="bottom"/>
          </w:tcPr>
          <w:p>
            <w:pPr>
              <w:jc w:val="right"/>
              <w:ind w:righ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6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1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Стимулирование экономического роста исключительно при помощи инструментов финансового рынка и с опорой на заемное финансирование без учета структурных ограничений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избыточное кредитование низкорентабельных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убыточных проектов могут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напротив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привести к негативным последствиям для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экономики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стимулирование чрезмерного относительно динамики доходов роста кредитования может иметь лишь краткосрочное позитивное влияние на экономическую динамику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затем оборачивается долговыми проблемами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угрожать стабильности реального и финансового секторов и даже стать причиной экономического кризиса и социальной напряженности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Быстрое увеличение кредитования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подкрепленное расширением производственных возможностей страны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приводит к отрыву стоимости товаров и активов от фундаментальных факторов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появлению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пузырей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рынках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разгону инфляции и в конечном счете к падению темпов экономического роста и реальных доходов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1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Поэтому потенциал финансового рынка как одного из факторов развития должен использоваться сбалансированно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скорости и характера развития экономической системы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9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Цели политики по развитию финансового рынка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8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обеспечения вклада в экономическое развитие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содействия структурной трансформации экономики Банк России выделяет следующие среднесрочные цели политики по развитию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сохраняют преемственность с целями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представленными в ОНРФР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24 – 26.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300" w:lineRule="auto"/>
        <w:tabs>
          <w:tab w:leader="none" w:pos="346" w:val="left"/>
        </w:tabs>
        <w:numPr>
          <w:ilvl w:val="0"/>
          <w:numId w:val="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современного финансового рынка для удовлетворения потребностей российской экономики в инвестициях для структурной трансформации и эффективных платежных механизмах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учетом происходящих изменений в экономике в первую очередь усиливается потребность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94" w:lineRule="auto"/>
        <w:tabs>
          <w:tab w:leader="none" w:pos="174" w:val="left"/>
        </w:tabs>
        <w:numPr>
          <w:ilvl w:val="0"/>
          <w:numId w:val="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долгосрочном финансировании трансформационных проектов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содействующих модернизации экономики и достижению технологической независимости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здесь необходимо максимально вовлечь внутренние ресурсы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частных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институциональных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сохраняет важность вопрос переориентации международных экономических связей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чему будут содействовать развитие альтернативных механизмов расчетов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создание необходимой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адаптация правового поля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Высокую роль продолжает играть создание условий для внедрения инноваций в финансовом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секторе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цифровизации экономических отношений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введения цифровой формы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национальной валюты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цифрового рубля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важно учитывать текущие тенденции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такие как появление экосистем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размывание границ между финансовым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580" w:hanging="6"/>
        <w:spacing w:after="0" w:line="292" w:lineRule="auto"/>
        <w:tabs>
          <w:tab w:leader="none" w:pos="186" w:val="left"/>
        </w:tabs>
        <w:numPr>
          <w:ilvl w:val="0"/>
          <w:numId w:val="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иными секторами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искусственного интеллекта и аутсорсинга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в том числе способствуют снижению издержек в деятельности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сохраняется значимость повестки устойчивого развития</w:t>
      </w:r>
    </w:p>
    <w:p>
      <w:pPr>
        <w:ind w:left="6" w:right="280" w:hanging="6"/>
        <w:spacing w:after="0" w:line="295" w:lineRule="auto"/>
        <w:tabs>
          <w:tab w:leader="none" w:pos="186" w:val="left"/>
        </w:tabs>
        <w:numPr>
          <w:ilvl w:val="0"/>
          <w:numId w:val="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климатических рисков для российского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ставит новые задачи в сфере развития российского финансового рынка и экономики в 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связанные с разработкой необходимых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правовых условий для финансирования перехода к низкоуглеродной экономике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500" w:hanging="6"/>
        <w:spacing w:after="0" w:line="297" w:lineRule="auto"/>
        <w:tabs>
          <w:tab w:leader="none" w:pos="346" w:val="left"/>
        </w:tabs>
        <w:numPr>
          <w:ilvl w:val="0"/>
          <w:numId w:val="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Укрепление доверия розничного потребителя и розничного инвестора к финансовому рынку через усиление его защищенности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финансовой грамотности и расширение доступности финансовых услуг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удовлетворение их потребностей в финансовых услугах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31" w:gutter="0" w:footer="0" w:header="0"/>
        </w:sectPr>
      </w:pPr>
    </w:p>
    <w:bookmarkStart w:id="13" w:name="page14"/>
    <w:bookmarkEnd w:id="1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00" w:type="dxa"/>
            <w:vAlign w:val="bottom"/>
            <w:vMerge w:val="restart"/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89"/>
              </w:rPr>
              <w:t>10</w:t>
            </w: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Эта цель остается особенно актуальной в условиях повышения роли внутренних источников финансирования развития экономики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том числе средств розничных инвесторов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Укрепление доверия граждан к рынку капитала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защита прав инвесторов и потребителей финансовых продуктов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95" w:lineRule="auto"/>
        <w:tabs>
          <w:tab w:leader="none" w:pos="177" w:val="left"/>
        </w:tabs>
        <w:numPr>
          <w:ilvl w:val="0"/>
          <w:numId w:val="3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услуг имеют критическое значение для выполнения финансовым рынком функции по трансформации сбережений в инвестиции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важно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потребителям финансовых продуктов и услуг был доступен весь спектр необходимых инструментов для сбережений и инвестиций на разных горизонтах с учетом их целей и потребностей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данная цель обретает свою специфику в контексте долгосрочного тренда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цифровизацию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сопровождается изменением характера взаимодействия поставщиков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292" w:lineRule="auto"/>
        <w:tabs>
          <w:tab w:leader="none" w:pos="177" w:val="left"/>
        </w:tabs>
        <w:numPr>
          <w:ilvl w:val="0"/>
          <w:numId w:val="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потребителей финансовых продуктов и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сокращением клиентского пути и возможностью быстрого доступа розничных инвесторов в сегменты финансового рынка с повышенным уровнем риска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где инвестирование требует специальной квалификации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внедрением новых технологий возрастают требования к уровню навыков потребителей финансовых услуг по использованию современных устройств и дистанционных каналов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повышаются риски цифрового неравенства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Особую важность приобретают вопросы безопасности предлагаемого потребителю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инвестору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продукта и качества его продвижения на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Одновременно появляются новые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виды мошенничества и недобросовестных практик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требует совершенствования методов противодействия им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этих условиях необходимы дополнительная настройка механизмов защиты прав розничных инвесторов и потребителей финансовых продуктов и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учетом применения искусственного интеллекта и роботизации отношений потребителя и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М</w:t>
      </w:r>
      <w:r>
        <w:rPr>
          <w:rFonts w:ascii="Arial" w:cs="Arial" w:eastAsia="Arial" w:hAnsi="Arial"/>
          <w:sz w:val="20"/>
          <w:szCs w:val="20"/>
          <w:color w:val="auto"/>
        </w:rPr>
        <w:t>2</w:t>
      </w:r>
      <w:r>
        <w:rPr>
          <w:rFonts w:ascii="Arial" w:cs="Arial" w:eastAsia="Arial" w:hAnsi="Arial"/>
          <w:sz w:val="20"/>
          <w:szCs w:val="20"/>
          <w:color w:val="auto"/>
        </w:rPr>
        <w:t>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finance),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повышение инвестиционной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цифровой и финансовой грамотности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Осведомленность и понимание специфики инструментов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их возможности и сопряженные с ними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являются важными факторами их правильного использования и повышения доступности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7" w:lineRule="exact"/>
        <w:rPr>
          <w:sz w:val="20"/>
          <w:szCs w:val="20"/>
          <w:color w:val="auto"/>
        </w:rPr>
      </w:pPr>
    </w:p>
    <w:p>
      <w:pPr>
        <w:ind w:left="6" w:right="540" w:hanging="6"/>
        <w:spacing w:after="0" w:line="309" w:lineRule="auto"/>
        <w:tabs>
          <w:tab w:leader="none" w:pos="346" w:val="left"/>
        </w:tabs>
        <w:numPr>
          <w:ilvl w:val="0"/>
          <w:numId w:val="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Обеспечение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бесперебойного функционирования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условиях стресса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Важно сохранять устойчивость финансового сектора и в условиях новых вызовов для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геополитическими рисками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тенденцией к фрагментации мировой финансово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экономической 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снижения доверия к исторически сложившимся механизмам ее функционирования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Внимания также требуют системные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 устойчивостью мировой экономики и финансовых рынков в условиях возможного сохранения инфляции на повышенном уровне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длительными сроками снижения ставок основными центральными банками до нейтральных уровней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 также мониторинг и изучение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нести ускоренное внедрение новых технологий на финансовом рынке и в экономике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этих условиях могут потребоваться уточнение подходов к политике по поддержанию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совершенствование ее инструментария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Данные цели учитывают реалии и ключевые вызовы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со вступлением экономики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301" w:lineRule="auto"/>
        <w:tabs>
          <w:tab w:leader="none" w:pos="169" w:val="left"/>
        </w:tabs>
        <w:numPr>
          <w:ilvl w:val="0"/>
          <w:numId w:val="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фазу масштабной структурной трансформации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актуальные тенденции в экономической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технологической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социальной и иных сферах жизни общества как в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в мире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Решение задач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достижение указанных среднесрочных целей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свою очередь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способствовать достижению поставленных национальных целей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повышению благополучия российских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развитию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ее технологической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цифровой и экологической трансформации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появлению инновационных инструментов финансирования инвестиций и предпринимательской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созданию комфортной и безопасной среды для жизни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Будучи одним из секторов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финансовый рынок вносит вклад в рост ВВП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создает новые рабочие места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предъявляет спрос на инновации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является значимым источником пополнения государственного бюджета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4" w:gutter="0" w:footer="0" w:header="0"/>
        </w:sectPr>
      </w:pPr>
    </w:p>
    <w:bookmarkStart w:id="14" w:name="page15"/>
    <w:bookmarkEnd w:id="1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80" w:type="dxa"/>
            <w:vAlign w:val="bottom"/>
          </w:tcPr>
          <w:p>
            <w:pPr>
              <w:jc w:val="right"/>
              <w:ind w:righ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4080" w:type="dxa"/>
            <w:vAlign w:val="bottom"/>
          </w:tcPr>
          <w:p>
            <w:pPr>
              <w:jc w:val="right"/>
              <w:ind w:righ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8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4080" w:type="dxa"/>
            <w:vAlign w:val="bottom"/>
          </w:tcPr>
          <w:p>
            <w:pPr>
              <w:jc w:val="right"/>
              <w:ind w:righ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8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Принципы политики по развитию финансового рынка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6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планировании деятельности и реализации мер по развитию финансового рынка Банк России опирается на ряд принципов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важны для обеспечения последовательности</w:t>
      </w:r>
    </w:p>
    <w:p>
      <w:pPr>
        <w:ind w:left="6" w:right="340" w:hanging="6"/>
        <w:spacing w:after="0" w:line="301" w:lineRule="auto"/>
        <w:tabs>
          <w:tab w:leader="none" w:pos="186" w:val="left"/>
        </w:tabs>
        <w:numPr>
          <w:ilvl w:val="0"/>
          <w:numId w:val="3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предсказуемости проводимой политики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понимания участниками рынка логики принимаемых решений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620" w:hanging="6"/>
        <w:spacing w:after="0" w:line="309" w:lineRule="auto"/>
        <w:tabs>
          <w:tab w:leader="none" w:pos="346" w:val="left"/>
        </w:tabs>
        <w:numPr>
          <w:ilvl w:val="0"/>
          <w:numId w:val="3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Приоритет интересов потребителей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конечных бенефициаров развития финансового рынка при определении целей и задач его развития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финансового рынка не является самоцелью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первую очередь оно должно способствовать повышению благосостояния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расширению возможностей для развития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российской экономики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этого Банк России определяет цели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направления и задачи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приоритетность принимаемых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оценивая планируемые и полученные результаты с точки зрения их ценности для конечного потребителя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финансового рынка на основе свободной рыночной среды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конкуренции и доверия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Создавая необходимые условия для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стремится минимизировать свое вмешательство в работу рыночных механизмов и справедливой конкуренции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правило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обеспечивают более эффективное распределение ресурсов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создают стимулы для внедрения инноваций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повышения качества финансовых продуктов и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в первую очередь фокусируется на решении системных вопросов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которыми рынок не всегда может справиться самостоятельно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Принципиально важным является укрепление доверия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доверие является результатом влияния таких факторов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устойчивость финансовых институтов и нефинансовых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прозрачность их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защита прав потребителей и инвестора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культуры взаимодействия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основанной прежде всего на этических принципах и добросовестном поведении его участников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макроэкономические и институциональные факторы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такие как ценовая и финансовая стабильность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защита прав собственности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эффективная судебная система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300" w:lineRule="auto"/>
        <w:tabs>
          <w:tab w:leader="none" w:pos="346" w:val="left"/>
        </w:tabs>
        <w:numPr>
          <w:ilvl w:val="0"/>
          <w:numId w:val="4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Проактивный подход к развитию финансового рынка с учетом ключевых внутренних и внешних трендов и факторов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Приоритетность стратегического вектора развития над тактическими решениями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Планируя деятельность по развитию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особое внимание Банк России уделяет своевременности принимаемых мер с учетом текущего состояния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формирующихся трендов и драйверов его будущего развития в условиях быстро меняющейся среды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Такой проактивный подход позволяет вовремя отвечать на зарождающиеся вызовы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создавая необходимые правовые и технологические условия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устраняя барьеры для динамичного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jc w:val="both"/>
        <w:ind w:left="6" w:right="3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Учитывая возрастающую скорость происходящих перемен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высокую неопределенность действия внешних факторов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ежегодно уточняет Основные направления развития финансового рынка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охватывающие период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Происходящие структурные изменения российской экономики формируют новые реалии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296" w:lineRule="auto"/>
        <w:tabs>
          <w:tab w:leader="none" w:pos="174" w:val="left"/>
        </w:tabs>
        <w:numPr>
          <w:ilvl w:val="0"/>
          <w:numId w:val="4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которых будет развиваться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должно учитываться при планировании среднесрочных задач и реализации стратегических целей политики по развитию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Банк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придерживаясь последовательности в своих действиях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990" w:gutter="0" w:footer="0" w:header="0"/>
        </w:sectPr>
      </w:pPr>
    </w:p>
    <w:bookmarkStart w:id="15" w:name="page16"/>
    <w:bookmarkEnd w:id="1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6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80" w:type="dxa"/>
            <w:vAlign w:val="bottom"/>
            <w:vMerge w:val="restart"/>
          </w:tcPr>
          <w:p>
            <w:pPr>
              <w:jc w:val="right"/>
              <w:ind w:righ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78"/>
              </w:rPr>
              <w:t>12</w:t>
            </w:r>
          </w:p>
        </w:tc>
        <w:tc>
          <w:tcPr>
            <w:tcW w:w="406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8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6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jc w:val="both"/>
        <w:ind w:left="6" w:right="8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допускает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краткосрочные тактические шаги вступали в значимое противоречие с решением поставленных долгосрочных задач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300" w:lineRule="auto"/>
        <w:tabs>
          <w:tab w:leader="none" w:pos="346" w:val="left"/>
        </w:tabs>
        <w:numPr>
          <w:ilvl w:val="0"/>
          <w:numId w:val="4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Транспарентность политики по развитию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Вовлечение участников финансового рынка со стороны финансового и реального секторов в разработку и реализацию планов по развитию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регулярно информирует участников рынка и общество в целом о подходах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целях и планах по развитию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видении архитектуры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принимаемых мерах и их причинах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достигнутых результатах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Такая коммуникация способствует прозрачности и предсказуемости действий мегарегулятора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является основой для доверия общества к проводимой политике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Транспарентность деятельности Банка России дает возможность участникам рынка учитывать заявленные мегарегулятором планы развития при выработке своих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стратегий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Признавая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ключевую роль в развитии финансового рынка играют прежде всего его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профессиональные участники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придает большое значение деятельности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их объединений и саморегулируемых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СРО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менее важным фактором развития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финансового рынка также являются потребности реального сектора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предъявляющего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спрос на услуги и сервисы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этого Банк России находится в тесном взаимодействии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020" w:hanging="6"/>
        <w:spacing w:after="0" w:line="295" w:lineRule="auto"/>
        <w:tabs>
          <w:tab w:leader="none" w:pos="177" w:val="left"/>
        </w:tabs>
        <w:numPr>
          <w:ilvl w:val="0"/>
          <w:numId w:val="4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объединениями представителей как финансового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реального сектора экономики при разработке и реализации своих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через проведение общественных консультаций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конференций и использование иных форматов обсуждения с экспертным и профессиональным сообществом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сбор и обсуждение инициатив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380" w:hanging="6"/>
        <w:spacing w:after="0" w:line="309" w:lineRule="auto"/>
        <w:tabs>
          <w:tab w:leader="none" w:pos="346" w:val="left"/>
        </w:tabs>
        <w:numPr>
          <w:ilvl w:val="0"/>
          <w:numId w:val="4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Согласованность и преемственность целей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подходов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задач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мер по развитию финансового рынка на разных уровнях по тематическим и секторальным направлениям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разработке и реализации Основных направлений развития финансового рынка Российской Федерации Банк России учитывает национальные цели развития Российской Федерации</w:t>
      </w:r>
      <w:r>
        <w:rPr>
          <w:rFonts w:ascii="Arial" w:cs="Arial" w:eastAsia="Arial" w:hAnsi="Arial"/>
          <w:sz w:val="11"/>
          <w:szCs w:val="11"/>
          <w:color w:val="auto"/>
        </w:rPr>
        <w:t>3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положения документов стратегического планирования Правительства Российской Федерации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293" w:lineRule="auto"/>
        <w:tabs>
          <w:tab w:leader="none" w:pos="177" w:val="left"/>
        </w:tabs>
        <w:numPr>
          <w:ilvl w:val="0"/>
          <w:numId w:val="45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поправкой на возможные изменения внутренней и внешней среды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происходящие с момента их утверждения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подготовке Основных направлений развития финансового рынка Российской Федерации учитываются положения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1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Стратегии развития финансового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1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рынка Российской Федерации до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2030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года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подготовленной совместно Правительством</w:t>
      </w:r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r>
        <w:rPr>
          <w:rFonts w:ascii="Arial" w:cs="Arial" w:eastAsia="Arial" w:hAnsi="Arial"/>
          <w:sz w:val="20"/>
          <w:szCs w:val="20"/>
          <w:color w:val="000000"/>
        </w:rPr>
        <w:t>Российской Федерации и Банком России</w:t>
      </w:r>
      <w:r>
        <w:rPr>
          <w:rFonts w:ascii="Arial" w:cs="Arial" w:eastAsia="Arial" w:hAnsi="Arial"/>
          <w:sz w:val="11"/>
          <w:szCs w:val="11"/>
          <w:color w:val="000000"/>
        </w:rPr>
        <w:t>4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Основные направления развития финансового рынка Российской Федерации являются среднесрочным документом верхнего уровня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который задает цели и приоритетные направления развития и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таким образом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расставляет ключевые акценты для секторальных и тематических среднесрочных документов Банка России в области развития финансового рынка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где соответствующие направления раскрыты более подробно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Обеспечивается также преемственность с аналогичными документами предыдущих лет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что важно для последовательности проводимой политики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pacing w:after="0" w:line="15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и Правительство Российской Федерации находятся в постоянном тесном взаимодействии по стратегическим и актуальным вопросам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обеспечивает взаимную согласованность как планируемых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реализуемых мер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384810</wp:posOffset>
                </wp:positionV>
                <wp:extent cx="1259840" cy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0.3pt" to="99.2pt,30.3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32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06" w:right="40" w:hanging="106"/>
        <w:spacing w:after="0" w:line="254" w:lineRule="auto"/>
        <w:tabs>
          <w:tab w:leader="none" w:pos="106" w:val="left"/>
        </w:tabs>
        <w:numPr>
          <w:ilvl w:val="0"/>
          <w:numId w:val="46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 Президента Российской Федерации от 07.05.2024 № 309 «О национальных целях развития Российской Федерации на период до 2030 года и на перспективу до 2036 года».</w:t>
      </w:r>
    </w:p>
    <w:p>
      <w:pPr>
        <w:spacing w:after="0" w:line="86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06" w:right="20" w:hanging="106"/>
        <w:spacing w:after="0" w:line="191" w:lineRule="exact"/>
        <w:tabs>
          <w:tab w:leader="none" w:pos="111" w:val="left"/>
        </w:tabs>
        <w:numPr>
          <w:ilvl w:val="0"/>
          <w:numId w:val="4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Одобрена решением Совета директоров Банка России от 28.11.2022, утверждена распоряжением Правительства Российской Федерации от 29.12.2022 № 4355-р (с изменениями, внесенными распоряжением Правительства Российской Федерации от 21.12.2023 № 3753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р).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0" w:gutter="0" w:footer="0" w:header="0"/>
        </w:sectPr>
      </w:pPr>
    </w:p>
    <w:bookmarkStart w:id="16" w:name="page17"/>
    <w:bookmarkEnd w:id="1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Хотя с цифровизацией экономических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финансовых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отношений все больше задач развития финансового рынка приобретают экстерриториальный характер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среднесрочном горизонте требуют внимания региональные аспекты развития финансового рынка с учетом разнообразия территориальных и географических особенностей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необходимо тесное взаимодействие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прежде всего в области финансовой грамотности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финансовой доступности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конкуренции и в целом по задачам развития финансового рынка на региональном уровне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региональными органами власти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представителями реального и финансового секторов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экспертного сообщества в регионах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при активном участии территориальных учреждений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Отдельного внимания требует обеспечение функционирования финансового сектора в регионах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принятых в состав Российской Федерации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340" w:hanging="6"/>
        <w:spacing w:after="0" w:line="309" w:lineRule="auto"/>
        <w:tabs>
          <w:tab w:leader="none" w:pos="346" w:val="left"/>
        </w:tabs>
        <w:numPr>
          <w:ilvl w:val="0"/>
          <w:numId w:val="4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Выработка регуляторных решений с учетом общих издержек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применение пропорционального и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ориентированного подходов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разработке и внедрении регуляторных и надзорных требований Банк России учитывает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только непосредственные цели и ожидаемые эффекты их введения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издержки участников рынка на их выполнение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расширяется использование данных и аналитического инструментария при принятии регулятивных и надзорных решений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активно расширяет использование современных цифровых технологий во взаимодействии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301" w:lineRule="auto"/>
        <w:tabs>
          <w:tab w:leader="none" w:pos="177" w:val="left"/>
        </w:tabs>
        <w:numPr>
          <w:ilvl w:val="0"/>
          <w:numId w:val="4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поднадзорными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технологии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</w:t>
      </w:r>
      <w:r>
        <w:rPr>
          <w:rFonts w:ascii="Arial" w:cs="Arial" w:eastAsia="Arial" w:hAnsi="Arial"/>
          <w:sz w:val="11"/>
          <w:szCs w:val="11"/>
          <w:color w:val="auto"/>
        </w:rPr>
        <w:t>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</w:t>
      </w:r>
      <w:r>
        <w:rPr>
          <w:rFonts w:ascii="Arial" w:cs="Arial" w:eastAsia="Arial" w:hAnsi="Arial"/>
          <w:sz w:val="11"/>
          <w:szCs w:val="11"/>
          <w:color w:val="auto"/>
        </w:rPr>
        <w:t>6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 том числе позволяет сократить издержки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применяет релизный подход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предполагающий введение в действие новых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правило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ранее чем через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 после публикации соответствующих нормативных документов при отсутствии специальных обстоятельств</w:t>
      </w:r>
      <w:r>
        <w:rPr>
          <w:rFonts w:ascii="Arial" w:cs="Arial" w:eastAsia="Arial" w:hAnsi="Arial"/>
          <w:sz w:val="11"/>
          <w:szCs w:val="11"/>
          <w:color w:val="auto"/>
        </w:rPr>
        <w:t>7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требующих незамедлительной реакции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Такой подход позволяет финансовым организациям заблаговременно подготовиться к изменениям и встроить регуляторные новации в свои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процессы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формирует регуляторные требования пропорционально масштабу и сложности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деятельности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приоритет отдается выявлению и предупреждению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реализации рисков в деятельности финансовых организаций на ранних этапах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позволяет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допустить накопления проблем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привести к значимым потерям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как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поставщиков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условиях существенного изменения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ситуации значительное внимание уделялось регуляторным послаблениям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первом этапе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адаптации участников рынка к усиливавшейся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волатильности финансового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рынка и повышенной неопределенности в процессе принятия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затем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00" w:hanging="6"/>
        <w:spacing w:after="0" w:line="295" w:lineRule="auto"/>
        <w:tabs>
          <w:tab w:leader="none" w:pos="171" w:val="left"/>
        </w:tabs>
        <w:numPr>
          <w:ilvl w:val="0"/>
          <w:numId w:val="5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своевременному выходу из них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мере адаптации к новым реалиям на первый план выходят регулятивные изменения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учет в регулировании опыта прохождения финансовым рынком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и создание условий для устойчивого развития финансового сектора</w:t>
      </w:r>
      <w:r>
        <w:rPr>
          <w:rFonts w:ascii="Arial" w:cs="Arial" w:eastAsia="Arial" w:hAnsi="Arial"/>
          <w:sz w:val="11"/>
          <w:szCs w:val="11"/>
          <w:color w:val="auto"/>
        </w:rPr>
        <w:t>8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800" w:hanging="6"/>
        <w:spacing w:after="0" w:line="309" w:lineRule="auto"/>
        <w:tabs>
          <w:tab w:leader="none" w:pos="346" w:val="left"/>
        </w:tabs>
        <w:numPr>
          <w:ilvl w:val="0"/>
          <w:numId w:val="5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Обеспечение устойчивости и независимости финансовой инфраструктуры российской экономики с учетом геополитических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1259840" cy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4pt" to="99.2pt,8.4pt" o:allowincell="f" strokecolor="#000000" strokeweight="0.25pt"/>
            </w:pict>
          </mc:Fallback>
        </mc:AlternateContent>
      </w:r>
    </w:p>
    <w:p>
      <w:pPr>
        <w:spacing w:after="0" w:line="285" w:lineRule="exact"/>
        <w:rPr>
          <w:sz w:val="20"/>
          <w:szCs w:val="20"/>
          <w:color w:val="auto"/>
        </w:rPr>
      </w:pPr>
    </w:p>
    <w:p>
      <w:pPr>
        <w:ind w:left="106" w:right="400" w:hanging="106"/>
        <w:spacing w:after="0" w:line="254" w:lineRule="auto"/>
        <w:tabs>
          <w:tab w:leader="none" w:pos="101" w:val="left"/>
        </w:tabs>
        <w:numPr>
          <w:ilvl w:val="0"/>
          <w:numId w:val="5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SupTech – Supervisory Technology (</w:t>
      </w:r>
      <w:r>
        <w:rPr>
          <w:rFonts w:ascii="Arial" w:cs="Arial" w:eastAsia="Arial" w:hAnsi="Arial"/>
          <w:sz w:val="16"/>
          <w:szCs w:val="16"/>
          <w:color w:val="auto"/>
        </w:rPr>
        <w:t>технологии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используемые регуляторами для повышения эффективности контроля и надзора за деятельностью участников финансового рынка</w:t>
      </w:r>
      <w:r>
        <w:rPr>
          <w:rFonts w:ascii="Arial" w:cs="Arial" w:eastAsia="Arial" w:hAnsi="Arial"/>
          <w:sz w:val="16"/>
          <w:szCs w:val="16"/>
          <w:color w:val="auto"/>
        </w:rPr>
        <w:t>).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ind w:left="106" w:hanging="106"/>
        <w:spacing w:after="0" w:line="254" w:lineRule="auto"/>
        <w:tabs>
          <w:tab w:leader="none" w:pos="112" w:val="left"/>
        </w:tabs>
        <w:numPr>
          <w:ilvl w:val="0"/>
          <w:numId w:val="53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RegTech – Regulatory Technology (</w:t>
      </w:r>
      <w:r>
        <w:rPr>
          <w:rFonts w:ascii="Arial" w:cs="Arial" w:eastAsia="Arial" w:hAnsi="Arial"/>
          <w:sz w:val="16"/>
          <w:szCs w:val="16"/>
          <w:color w:val="auto"/>
        </w:rPr>
        <w:t>технологии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используемые финансовыми организациями для повышения эффективности выполнения требований регулятора</w:t>
      </w:r>
      <w:r>
        <w:rPr>
          <w:rFonts w:ascii="Arial" w:cs="Arial" w:eastAsia="Arial" w:hAnsi="Arial"/>
          <w:sz w:val="16"/>
          <w:szCs w:val="16"/>
          <w:color w:val="auto"/>
        </w:rPr>
        <w:t>).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ind w:left="106" w:right="100" w:hanging="106"/>
        <w:spacing w:after="0" w:line="254" w:lineRule="auto"/>
        <w:tabs>
          <w:tab w:leader="none" w:pos="96" w:val="left"/>
        </w:tabs>
        <w:numPr>
          <w:ilvl w:val="0"/>
          <w:numId w:val="54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рамках релизного подхода нормы вводятся в действие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1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октября или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1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апреля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но не ранее чем через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6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месяцев после публикации соответствующих нормативных документов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ind w:left="106" w:right="60" w:hanging="106"/>
        <w:spacing w:after="0" w:line="251" w:lineRule="auto"/>
        <w:tabs>
          <w:tab w:leader="none" w:pos="117" w:val="left"/>
        </w:tabs>
        <w:numPr>
          <w:ilvl w:val="0"/>
          <w:numId w:val="5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данные вопросы изложены в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разделе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3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Направления развития российского финансового рынка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»,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направлении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1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Создание условий для усиления роли финансового рынка в финансировании трансформации экономики при сохранении устойчивости финансового сектора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»,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задаче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7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Обеспечение устойчивости и развитие регулирования финансовых организаций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2" w:gutter="0" w:footer="0" w:header="0"/>
        </w:sectPr>
      </w:pPr>
    </w:p>
    <w:bookmarkStart w:id="17" w:name="page18"/>
    <w:bookmarkEnd w:id="1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6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80" w:type="dxa"/>
            <w:vAlign w:val="bottom"/>
            <w:vMerge w:val="restart"/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84"/>
              </w:rPr>
              <w:t>14</w:t>
            </w:r>
          </w:p>
        </w:tc>
        <w:tc>
          <w:tcPr>
            <w:tcW w:w="406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8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6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Обеспечение независимости российской экономики с точки зрения функционирования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финансового рынка касается прежде всего развития необходимой независимой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но не изолированной от внешнего мира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сфере платежей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расчетов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критически важных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jc w:val="both"/>
        <w:ind w:left="6" w:right="2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решении стратегических задач развития финансового рынка Банк России и Правительство Российской Федерации также минимизируют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 геополитическими факторами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необходимо для обеспечения экономической безопасности страны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5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международных отношений и интеграционных процессов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jc w:val="both"/>
        <w:ind w:left="6" w:right="44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Российский финансовый рынок продолжает оставаться частью мирового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Сохраняют актуальность масштабные задачи по переориентации и усилению международных экономических связей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Решая стратегические задачи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совместно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40" w:hanging="6"/>
        <w:spacing w:after="0" w:line="298" w:lineRule="auto"/>
        <w:tabs>
          <w:tab w:leader="none" w:pos="177" w:val="left"/>
        </w:tabs>
        <w:numPr>
          <w:ilvl w:val="0"/>
          <w:numId w:val="5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Правительством Российской Федерации проводит активную работу с зарубежными регуляторами и участниками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направленную на преодоление существующих ограничений и создание условий для развития системы международных расчетов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правовых условий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полноценно отвечающей вызовам и потребностям нового времени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планировании и практической реализации мер по развитию финансового рынка Банк России также учитывает интеграционные процессы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в рамках Евразийского экономического союза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ЕАЭС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Союзного государства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Содружества Независимых Государств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выполняет международные обязательства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принятые Российской Федерацией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Банк России считает необходимыми учет и имплементацию лучших международных стандартов в регулировании</w:t>
      </w:r>
      <w:r>
        <w:rPr>
          <w:rFonts w:ascii="Arial" w:cs="Arial" w:eastAsia="Arial" w:hAnsi="Arial"/>
          <w:sz w:val="11"/>
          <w:szCs w:val="11"/>
          <w:color w:val="auto"/>
        </w:rPr>
        <w:t>9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 том числе способствует выстраиванию взаимоотношений со странами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партнерами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которых такие практики являются понятными и зарекомендовавшими себя подходами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применяет международные стандарты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адаптируя их с учетом российского опыта и специфики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40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Механизмы политики по развитию финансового рынка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развития российского финансового рынка и обеспечения его устойчивости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его участия в структурной трансформации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внедрения инноваций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расширения набора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продуктов и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повышения их доступности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защиты прав потребителей и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формирования среды доверия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используется широкий набор механизмов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применяются в зависимости от специфики решаемых задач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70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Выделяются следующие основные механизмы воздействия на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создания условий и стимулов для его развития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нормативно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правовое регулирование и надзор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мягкое регулирование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этические кодексы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стандарты СРО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рекомендации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создание и развитие элементов цифровой инфраструктуры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равного доступа к ней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436880</wp:posOffset>
                </wp:positionV>
                <wp:extent cx="1259840" cy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4.4pt" to="99.2pt,34.4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ind w:left="106" w:hanging="106"/>
        <w:spacing w:after="0"/>
        <w:tabs>
          <w:tab w:leader="none" w:pos="106" w:val="left"/>
        </w:tabs>
        <w:numPr>
          <w:ilvl w:val="0"/>
          <w:numId w:val="5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том числе в сфере устойчивого развития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bookmarkStart w:id="18" w:name="page19"/>
    <w:bookmarkEnd w:id="1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создание и поддержка государством механизмов коллективного страхования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гарантирования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накоплений граждан как в банковском секторе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на рынке страхования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jc w:val="both"/>
        <w:ind w:left="6" w:right="4640" w:hanging="6"/>
        <w:spacing w:after="0" w:line="288" w:lineRule="auto"/>
        <w:tabs>
          <w:tab w:leader="none" w:pos="186" w:val="left"/>
        </w:tabs>
        <w:numPr>
          <w:ilvl w:val="0"/>
          <w:numId w:val="5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негосударственных пенсионных фондах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НПФ</w:t>
      </w:r>
      <w:r>
        <w:rPr>
          <w:rFonts w:ascii="Arial" w:cs="Arial" w:eastAsia="Arial" w:hAnsi="Arial"/>
          <w:sz w:val="20"/>
          <w:szCs w:val="20"/>
          <w:color w:val="auto"/>
        </w:rPr>
        <w:t>);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налоговое стимулирование и субсидирование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240"/>
        <w:spacing w:after="0" w:line="30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финансовой грамотности и просветительская деятельность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подготовка кадров для финансовой отрасли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информационная политика и взаимодействие с участниками рынка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регулирование потоков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2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и Правительство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правило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используют комбинацию механизмов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позволяет повысить эффективность принимаемых мер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Указанные механизмы в целом остаются неизменными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могут уточняться их специфика и подходы к их применению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5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Механизмы развития финансового рынка применяются на основе комплексного анализа ожидаемых результатов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учитывающего как выгоды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возможные издержки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опыт других стран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взаимодействует с иностранными партнерами для выработки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540" w:hanging="6"/>
        <w:spacing w:after="0" w:line="301" w:lineRule="auto"/>
        <w:tabs>
          <w:tab w:leader="none" w:pos="186" w:val="left"/>
        </w:tabs>
        <w:numPr>
          <w:ilvl w:val="0"/>
          <w:numId w:val="6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применения общих взаимовыгодных механизмов для сотрудничества в сфере финансового рынка и экономических отношений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вносит вклад в развитие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способствуя формированию предсказуемых макроэкономических условий через обеспечение ценовой и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кредитная политика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проводимая в рамках режима таргетирования инфляции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макропруденциальная политика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нацеленная на поддержание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влияют на развитие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 же время инструменты 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кредитной и макропруденциальной политики не предназначены и не используются за пределами этих политик специально для стимулирования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Такое использование имело бы значимые негативные эффекты для достижения целей в области ценовой и финансовой стабильности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следствие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устойчивого развития финансового рынка и экономики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294" w:lineRule="auto"/>
        <w:tabs>
          <w:tab w:leader="none" w:pos="188" w:val="left"/>
        </w:tabs>
        <w:numPr>
          <w:ilvl w:val="0"/>
          <w:numId w:val="6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острую фазу введения масштабных антироссийских санкций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ограничения на движение капитала временно использовались как один из механизмов поддержания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мере нормализации ситуации на финансовом рынке и снижения рисков для финансовой стабильности ограничения такого характера в значительной степени были сняты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Отдельные сохраняющиеся до настоящего времени ограничения на движение капитала имеют в первую очередь контрсанкционный эффект и компенсируют воздействие введенных внешних санкций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стимулирование вывода капитала зарубежных инвесторов из России и запрет на потенциальный приток капитала в будущем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Указанные временные механизмы позволили реагировать на изменяющиеся внешние обстоятельства и ограничили негативный эффект санкционных мер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на постоянной основе проводит предметный анализ действующих специальных экономических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ограничение проведения валютных операций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необходимости Правительство Российской Федерации и Банк России предпринимают шаги по изменению требований валютного контроля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Вместе с тем ограничения на движение капитала создают издержки для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развития внешнеэкономической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инвестиционного климата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309" w:lineRule="auto"/>
        <w:tabs>
          <w:tab w:leader="none" w:pos="173" w:val="left"/>
        </w:tabs>
        <w:numPr>
          <w:ilvl w:val="0"/>
          <w:numId w:val="6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учетом этого должны иметь точечный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ограниченный во времени характер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дальнейшем необходимо двигаться в направлении их отмены по мере адаптации экономики к новым условиям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3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и Правительство Российской Федерации во взаимодействии с органами законодательной власти ведут тесную работу по формированию правовой среды для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по созданию правовых основ для новых форм и видов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34" w:gutter="0" w:footer="0" w:header="0"/>
        </w:sectPr>
      </w:pPr>
    </w:p>
    <w:bookmarkStart w:id="19" w:name="page20"/>
    <w:bookmarkEnd w:id="1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6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80" w:type="dxa"/>
            <w:vAlign w:val="bottom"/>
            <w:vMerge w:val="restart"/>
          </w:tcPr>
          <w:p>
            <w:pPr>
              <w:jc w:val="right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84"/>
              </w:rPr>
              <w:t>16</w:t>
            </w:r>
          </w:p>
        </w:tc>
        <w:tc>
          <w:tcPr>
            <w:tcW w:w="406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8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60" w:type="dxa"/>
            <w:vAlign w:val="bottom"/>
          </w:tcPr>
          <w:p>
            <w:pPr>
              <w:ind w:left="2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форматов взаимодействия поставщиков и потребителей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каналов обслуживания в условиях внедрения передовых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Особое значение имеют инвентаризация и упорядочение накопившихся норм регулирования с устранением избыточных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устаревших и дублирующих друг друга правил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Налоговые стимулы и субсидии являются одним из важных инструментов Правительства Российской Федерации для поддержки и ускорения развития тех или иных видов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механизмов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особенно на начальных этапах их становления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развитие на рыночных условиях может быть затруднено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Такую роль также выполняют специальные институты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работающие именно в тех нишах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где рыночные механизмы не справляются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важен системный подход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мониторинг эффективности использования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6" w:lineRule="auto"/>
        <w:tabs>
          <w:tab w:leader="none" w:pos="186" w:val="left"/>
        </w:tabs>
        <w:numPr>
          <w:ilvl w:val="0"/>
          <w:numId w:val="6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периодическая актуализация таких стимулов для обеспечения фокуса на наиболее востребованных с точки зрения российской экономики механизмах и инструментах долгосрочного финансирования с учетом ограниченности ресурсов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Значимость этих механизмов особенно возрастает в контексте усиления роли финансового рынка в финансировании трансформационных проектов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необходимых для структурных изменений в российской экономике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400" w:hanging="6"/>
        <w:spacing w:after="0" w:line="294" w:lineRule="auto"/>
        <w:tabs>
          <w:tab w:leader="none" w:pos="188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части развития национальной цифровой инфраструктуры Банк России и Правительство Российской Федерации руководствуются тремя ключевыми принципами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Основной фокус внимания направлен на реализацию тех проектов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которые существует спрос со стороны граждан и бизнеса при одновременном отсутствии возможности их самостоятельной реализации у большинства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реализация указанных проектов должна способствовать обеспечению финансового суверенитета и развитию конкуренции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Все большее значение для развития финансовых продуктов и сервисов имеет доступ к данным государственных информационных систем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в целях обеспечения независимости финансовой инфраструктуры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системной устойчивости и конкурентоспособности национального финансового рынка сохраняет участие в ряде инфраструктурных организаций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капитале ПАО Московская Биржа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акционерных обществах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Национальная система платежных карт</w:t>
      </w:r>
      <w:r>
        <w:rPr>
          <w:rFonts w:ascii="Arial" w:cs="Arial" w:eastAsia="Arial" w:hAnsi="Arial"/>
          <w:sz w:val="20"/>
          <w:szCs w:val="20"/>
          <w:color w:val="auto"/>
        </w:rPr>
        <w:t>» (</w:t>
      </w:r>
      <w:r>
        <w:rPr>
          <w:rFonts w:ascii="Arial" w:cs="Arial" w:eastAsia="Arial" w:hAnsi="Arial"/>
          <w:sz w:val="20"/>
          <w:szCs w:val="20"/>
          <w:color w:val="auto"/>
        </w:rPr>
        <w:t>НСПК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Российская национальная перестраховочная компания</w:t>
      </w:r>
      <w:r>
        <w:rPr>
          <w:rFonts w:ascii="Arial" w:cs="Arial" w:eastAsia="Arial" w:hAnsi="Arial"/>
          <w:sz w:val="20"/>
          <w:szCs w:val="20"/>
          <w:color w:val="auto"/>
        </w:rPr>
        <w:t>» (</w:t>
      </w:r>
      <w:r>
        <w:rPr>
          <w:rFonts w:ascii="Arial" w:cs="Arial" w:eastAsia="Arial" w:hAnsi="Arial"/>
          <w:sz w:val="20"/>
          <w:szCs w:val="20"/>
          <w:color w:val="auto"/>
        </w:rPr>
        <w:t>РНПК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использует в первую очередь превентивный подход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направленный на выявление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jc w:val="both"/>
        <w:ind w:left="6" w:right="1220" w:hanging="6"/>
        <w:spacing w:after="0" w:line="296" w:lineRule="auto"/>
        <w:tabs>
          <w:tab w:leader="none" w:pos="186" w:val="left"/>
        </w:tabs>
        <w:numPr>
          <w:ilvl w:val="0"/>
          <w:numId w:val="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устранение рисков на ранних стадиях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обеспечения финансовой стабильности при необходимости Банк России применяет инструменты финансового оздоровления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Все большую актуальность на финансовом рынке приобретает вопрос уровня квалификации кадров и их доступности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Вызовы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возникнуть в этой области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особенно в сфере высокотехнологичных отраслей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ИТ и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учитывать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940" w:hanging="6"/>
        <w:spacing w:after="0" w:line="301" w:lineRule="auto"/>
        <w:tabs>
          <w:tab w:leader="none" w:pos="174" w:val="left"/>
        </w:tabs>
        <w:numPr>
          <w:ilvl w:val="0"/>
          <w:numId w:val="6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том числе при рассмотрении вопросов стратегического развития и функционирования финансового рынка в новых реалиях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Большое значение для динамичного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процессы цифровизации и устойчивого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имеет доступ финансовых посредников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иных участников финансового рынка к рынку труда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предлагающему специалистов требуемой квалификации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Дефицит такого предложения не только тормозит развитие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порождает отток кадров в сторону крупных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предлагающих конкурентоспособные условия оплаты труда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ограничивает кадровое обеспечение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лишая их ключевого персонала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Одновременно с этим скорость разработки и актуализации программ подготовки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925" w:gutter="0" w:footer="0" w:header="0"/>
        </w:sectPr>
      </w:pPr>
    </w:p>
    <w:bookmarkStart w:id="20" w:name="page21"/>
    <w:bookmarkEnd w:id="2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6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1.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Цели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принципы и механизмы политики</w:t>
            </w:r>
          </w:p>
        </w:tc>
        <w:tc>
          <w:tcPr>
            <w:tcW w:w="406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0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по развитию российского финансового рынка</w:t>
            </w:r>
          </w:p>
        </w:tc>
        <w:tc>
          <w:tcPr>
            <w:tcW w:w="406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переподготовки и повышения квалификации не соответствует объемам потребностей рынка труда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приводит к увеличению затрат на обучение и развитие специалистов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уделяет большое внимание повышению уровня квалификации кадров финансового рынка путем разработки и реализации механизмов взаимодействия между участниками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государством и системой образования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запускает и реализует учебно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просветительские программы для специалистов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представителей органов законодательной и исполнительной власти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иных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заинтересованных в повышении квалификации по вопросам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относящимся к компетенции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Информационная политика и взаимодействие с участниками рынка играют важнейшую роль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40" w:hanging="6"/>
        <w:spacing w:after="0" w:line="295" w:lineRule="auto"/>
        <w:tabs>
          <w:tab w:leader="none" w:pos="161" w:val="left"/>
        </w:tabs>
        <w:numPr>
          <w:ilvl w:val="0"/>
          <w:numId w:val="6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создании четкого понимания ими целей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планов и шагов Банка России и Правительства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оценки тенденций и результатов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36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Это создает ориентиры для финансовых организаций при выстраивании их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Регулярная коммуникация как с потребителями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с поставщиками финансовых продуктов и услуг повышает прозрачность проводимой политики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способствует росту доверия к ней и усиливает действенность принимаемых мер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Важным элементом коммуникации также является взаимный информационный обмен с участниками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позволяет Банку России</w:t>
      </w:r>
    </w:p>
    <w:p>
      <w:pPr>
        <w:jc w:val="both"/>
        <w:ind w:left="6" w:right="80"/>
        <w:spacing w:after="0" w:line="29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Правительству Российской Федерации получить обратную связь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выявить потребности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дополнительно оценить процессы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происходящие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учитывать их при выработке мер по его развитию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Постоянная коммуникация с участниками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обществом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разъяснение сути происходящих экономических изменений и принимаемых мер Банка России и Правительства Российской Федерации способствуют снижению неопределенности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вносят вклад в стабилизацию ситуации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влияя на поведение и ожидания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бизнеса и профессиональных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применяет широкий набор каналов коммуникации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сопровождая все предпринимаемые шаги оперативными разъяснениями и комментариями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поддерживая при этом оперативную связь и взаимодействие с участниками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440" w:gutter="0" w:footer="0" w:header="0"/>
        </w:sectPr>
      </w:pPr>
    </w:p>
    <w:bookmarkStart w:id="21" w:name="page22"/>
    <w:bookmarkEnd w:id="21"/>
    <w:p>
      <w:pPr>
        <w:ind w:left="8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Основные направления развития</w:t>
      </w:r>
    </w:p>
    <w:p>
      <w:pPr>
        <w:ind w:left="846"/>
        <w:spacing w:after="0" w:line="2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финансового рынка Российской Федерации</w:t>
      </w:r>
    </w:p>
    <w:p>
      <w:pPr>
        <w:ind w:left="6"/>
        <w:spacing w:after="0" w:line="182" w:lineRule="auto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auto"/>
        </w:rPr>
        <w:t>18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2"/>
          <w:szCs w:val="12"/>
          <w:color w:val="auto"/>
        </w:rPr>
        <w:t>на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2025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год и период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2026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и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2027</w:t>
      </w:r>
      <w:r>
        <w:rPr>
          <w:rFonts w:ascii="Arial" w:cs="Arial" w:eastAsia="Arial" w:hAnsi="Arial"/>
          <w:sz w:val="12"/>
          <w:szCs w:val="12"/>
          <w:color w:val="auto"/>
        </w:rPr>
        <w:t xml:space="preserve"> годов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77470</wp:posOffset>
                </wp:positionV>
                <wp:extent cx="6119495" cy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6.1pt" to="481.85pt,6.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РАЗДЕЛ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2.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ТЕКУЩЕЕ СОСТОЯНИЕ</w:t>
      </w:r>
      <w:r>
        <w:rPr>
          <w:rFonts w:ascii="Arial" w:cs="Arial" w:eastAsia="Arial" w:hAnsi="Arial"/>
          <w:sz w:val="32"/>
          <w:szCs w:val="32"/>
          <w:color w:val="006391"/>
        </w:rPr>
        <w:t>,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ВОЗМОЖНОСТИ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ind w:left="6" w:right="2260" w:hanging="5"/>
        <w:spacing w:after="0" w:line="268" w:lineRule="auto"/>
        <w:tabs>
          <w:tab w:leader="none" w:pos="337" w:val="left"/>
        </w:tabs>
        <w:numPr>
          <w:ilvl w:val="0"/>
          <w:numId w:val="68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ВЫЗОВЫ ДЛЯ РАЗВИТИЯ РОССИЙСКОГО ФИНАНСОВОГО РЫНКА</w:t>
      </w:r>
    </w:p>
    <w:p>
      <w:pPr>
        <w:spacing w:after="0" w:line="184" w:lineRule="exact"/>
        <w:rPr>
          <w:sz w:val="20"/>
          <w:szCs w:val="20"/>
          <w:color w:val="auto"/>
        </w:rPr>
      </w:pPr>
    </w:p>
    <w:p>
      <w:pPr>
        <w:ind w:left="6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Российский финансовый рынок в целом адаптировался к новым условиям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сохранил свою устойчивость и продолжает выполнять ключевые функции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содействуя структурной трансформации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Стабильной работе финансового рынка способствуют предпринятые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2" w:lineRule="auto"/>
        <w:tabs>
          <w:tab w:leader="none" w:pos="174" w:val="left"/>
        </w:tabs>
        <w:numPr>
          <w:ilvl w:val="0"/>
          <w:numId w:val="6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предыдущие годы меры по повышению устойчивости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накопленные буферы капитала у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вывод с рынка неустойчивых и недобросовестных финансовых посредников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создание независимой платежной и расчетной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этих условиях бо</w:t>
      </w:r>
      <w:r>
        <w:rPr>
          <w:rFonts w:ascii="Arial" w:cs="Arial" w:eastAsia="Arial" w:hAnsi="Arial"/>
          <w:sz w:val="20"/>
          <w:szCs w:val="20"/>
          <w:color w:val="auto"/>
        </w:rPr>
        <w:t>´</w:t>
      </w:r>
      <w:r>
        <w:rPr>
          <w:rFonts w:ascii="Arial" w:cs="Arial" w:eastAsia="Arial" w:hAnsi="Arial"/>
          <w:sz w:val="20"/>
          <w:szCs w:val="20"/>
          <w:color w:val="auto"/>
        </w:rPr>
        <w:t>льшая часть регуляторных послаблений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введенных</w:t>
      </w: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6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основном была отменена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продолжалась реализация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развитие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поддержание его устойчивости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учетом быстрого роста его отдельных сегментов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7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продолжился рост финансового рынка и развитие его основных сегментов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8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наблюдавшиеся на протяжении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Активы финансовых организаций к началу октября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достигли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243,85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увеличившись за год почти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17,4%.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Годовой темп прироста активов НФО составил чуть менее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16,7%,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 банков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17,6%</w:t>
      </w:r>
      <w:r>
        <w:rPr>
          <w:rFonts w:ascii="Arial" w:cs="Arial" w:eastAsia="Arial" w:hAnsi="Arial"/>
          <w:sz w:val="11"/>
          <w:szCs w:val="11"/>
          <w:color w:val="auto"/>
        </w:rPr>
        <w:t>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Пропорция активов финансовых организаций сохраняется в пользу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Распределение активов между банками и НФО на конец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аналогично прошлогодним значениям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банки приходилось около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76,7% (</w:t>
      </w:r>
      <w:r>
        <w:rPr>
          <w:rFonts w:ascii="Arial" w:cs="Arial" w:eastAsia="Arial" w:hAnsi="Arial"/>
          <w:sz w:val="20"/>
          <w:szCs w:val="20"/>
          <w:color w:val="auto"/>
        </w:rPr>
        <w:t>на октябрь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76,6%).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Портфель банковских кредитов показал значимый прирост в сегменте как корпоративного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 и розничного кредитования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Портфель корпоративных кредитов вырос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21,8%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84,2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предшествующих октябрю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ипотека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21,7%</w:t>
      </w:r>
      <w:r>
        <w:rPr>
          <w:rFonts w:ascii="Arial" w:cs="Arial" w:eastAsia="Arial" w:hAnsi="Arial"/>
          <w:sz w:val="11"/>
          <w:szCs w:val="11"/>
          <w:color w:val="auto"/>
        </w:rPr>
        <w:t>2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19,8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потребительские кредиты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15,7% (</w:t>
      </w:r>
      <w:r>
        <w:rPr>
          <w:rFonts w:ascii="Arial" w:cs="Arial" w:eastAsia="Arial" w:hAnsi="Arial"/>
          <w:sz w:val="20"/>
          <w:szCs w:val="20"/>
          <w:color w:val="auto"/>
        </w:rPr>
        <w:t>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15,4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5" w:lineRule="auto"/>
        <w:tabs>
          <w:tab w:leader="none" w:pos="201" w:val="left"/>
        </w:tabs>
        <w:numPr>
          <w:ilvl w:val="0"/>
          <w:numId w:val="7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основным фактором роста кредитования является кредитование сегментов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, </w:t>
      </w:r>
      <w:r>
        <w:rPr>
          <w:rFonts w:ascii="Arial" w:cs="Arial" w:eastAsia="Arial" w:hAnsi="Arial"/>
          <w:sz w:val="20"/>
          <w:szCs w:val="20"/>
          <w:color w:val="auto"/>
        </w:rPr>
        <w:t>менее чувствительных к динамике ставок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кредитование строительства жилья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где ставки ниже за счет наполняемости счетов эскроу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продолжение финансирования ранее начатых инвестиционных проектов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продолжилось расширение портфеля проектов технологического суверенитета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020" w:hanging="6"/>
        <w:spacing w:after="0" w:line="292" w:lineRule="auto"/>
        <w:tabs>
          <w:tab w:leader="none" w:pos="186" w:val="left"/>
        </w:tabs>
        <w:numPr>
          <w:ilvl w:val="0"/>
          <w:numId w:val="7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структурной адаптации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ТС и САЭ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Таксономии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утвержденной Правительством Российской Федерации</w:t>
      </w:r>
      <w:r>
        <w:rPr>
          <w:rFonts w:ascii="Arial" w:cs="Arial" w:eastAsia="Arial" w:hAnsi="Arial"/>
          <w:sz w:val="11"/>
          <w:szCs w:val="11"/>
          <w:color w:val="auto"/>
        </w:rPr>
        <w:t>3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состоянию на начало ноября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 специальный реестр вошло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проектов ТС и САЭ с общим бюджетом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800"/>
        <w:spacing w:after="0" w:line="29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Увеличению потенциала кредитования приоритетных проектов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наряду с уже введенным стимулирующим регулированием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могли бы способствовать дополнительные меры государственной поддержки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Расширение оборотного кредитования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свою очередь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обусловлено в том числе удлинением цепочек поставок и увеличением длительности производственного цикла на фоне осложнений</w:t>
      </w:r>
    </w:p>
    <w:p>
      <w:pPr>
        <w:ind w:left="6" w:right="700" w:hanging="6"/>
        <w:spacing w:after="0" w:line="301" w:lineRule="auto"/>
        <w:tabs>
          <w:tab w:leader="none" w:pos="177" w:val="left"/>
        </w:tabs>
        <w:numPr>
          <w:ilvl w:val="0"/>
          <w:numId w:val="7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расчетами по экспортно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импортным операциям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целом устойчивая прибыль компаний позволяет им обслуживать кредиты даже по возросшим ставкам и наращивать бизнес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267335</wp:posOffset>
                </wp:positionV>
                <wp:extent cx="1259840" cy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1.05pt" to="99.2pt,21.0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8" w:lineRule="exact"/>
        <w:rPr>
          <w:sz w:val="20"/>
          <w:szCs w:val="20"/>
          <w:color w:val="auto"/>
        </w:rPr>
      </w:pPr>
    </w:p>
    <w:p>
      <w:pPr>
        <w:ind w:left="86" w:right="660" w:hanging="86"/>
        <w:spacing w:after="0" w:line="254" w:lineRule="auto"/>
        <w:tabs>
          <w:tab w:leader="none" w:pos="86" w:val="left"/>
        </w:tabs>
        <w:numPr>
          <w:ilvl w:val="0"/>
          <w:numId w:val="74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Здесь и далее темпы прироста показателей банковского сектора приведены с исключением влияния динамики валютного курса по действующим на отчетную дату кредитным организациям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(</w:t>
      </w:r>
      <w:r>
        <w:rPr>
          <w:rFonts w:ascii="Arial" w:cs="Arial" w:eastAsia="Arial" w:hAnsi="Arial"/>
          <w:sz w:val="16"/>
          <w:szCs w:val="16"/>
          <w:color w:val="auto"/>
        </w:rPr>
        <w:t>включая присоединенные</w:t>
      </w:r>
      <w:r>
        <w:rPr>
          <w:rFonts w:ascii="Arial" w:cs="Arial" w:eastAsia="Arial" w:hAnsi="Arial"/>
          <w:sz w:val="16"/>
          <w:szCs w:val="16"/>
          <w:color w:val="auto"/>
        </w:rPr>
        <w:t>).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ind w:left="106" w:hanging="106"/>
        <w:spacing w:after="0"/>
        <w:tabs>
          <w:tab w:leader="none" w:pos="106" w:val="left"/>
        </w:tabs>
        <w:numPr>
          <w:ilvl w:val="0"/>
          <w:numId w:val="7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С исключением эффекта секьюритизации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99" w:lineRule="exact"/>
        <w:rPr>
          <w:sz w:val="20"/>
          <w:szCs w:val="20"/>
          <w:color w:val="auto"/>
        </w:rPr>
      </w:pPr>
    </w:p>
    <w:p>
      <w:pPr>
        <w:ind w:left="106" w:right="180" w:hanging="106"/>
        <w:spacing w:after="0" w:line="254" w:lineRule="auto"/>
        <w:tabs>
          <w:tab w:leader="none" w:pos="106" w:val="left"/>
        </w:tabs>
        <w:numPr>
          <w:ilvl w:val="0"/>
          <w:numId w:val="76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об этих и иных мерах Банка России и Правительства Российской Федерации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упомянутых в этом разделе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см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.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в Приложении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2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486"/>
          </w:cols>
          <w:pgMar w:left="1134" w:top="660" w:right="1286" w:bottom="519" w:gutter="0" w:footer="0" w:header="0"/>
        </w:sectPr>
      </w:pPr>
    </w:p>
    <w:bookmarkStart w:id="22" w:name="page23"/>
    <w:bookmarkEnd w:id="2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Текущее состояние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возможности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и вызовы для развития российского финансового рынка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Спрос на ипотечное и потребительское кредитование был поддержан ростом доходов населения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сохранением высокой потребительской активности и ожиданиями сворачивания льготных ипотечных программ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банки ослабляли свои стандарты выдач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того чтобы ограничить риски чрезмерной закредитованности граждан и способствовать перераспределению выдач в пользу менее рискованных категорий заемщиков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последовательно принимал макропруденциальные меры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повышались макропруденциальные надбавки для потребительских кредитов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были установлены более жесткие макропруденциальные лимиты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прекращено действие моратория на ограничение полной стоимости кредита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ПСК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Вместе с тем в целях поддержки ипотечного кредитования принято решение не ограничивать ПСК по ипотечным кредитам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марта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риски увеличения долговой нагрузки заемщиков будут ограничены уже действующими макропруденциальными надбавками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участии Банка России приняты законодательные изменения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ограничивающие риски применения переменных ставок по кредитам для микропредприятий и физических лиц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 w:right="400" w:hanging="6"/>
        <w:spacing w:after="0" w:line="301" w:lineRule="auto"/>
        <w:tabs>
          <w:tab w:leader="none" w:pos="184" w:val="left"/>
        </w:tabs>
        <w:numPr>
          <w:ilvl w:val="0"/>
          <w:numId w:val="7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устанавливающие обязанность кредитора информировать заемщика о рисках использования переменных процентных ставок до заключения кредитного договора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условиях привлекательных процентных ставок по вкладам продолжился приток средств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вклады и депозиты в банках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Средства населения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 к началу октября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выросли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27,2% (</w:t>
      </w:r>
      <w:r>
        <w:rPr>
          <w:rFonts w:ascii="Arial" w:cs="Arial" w:eastAsia="Arial" w:hAnsi="Arial"/>
          <w:sz w:val="20"/>
          <w:szCs w:val="20"/>
          <w:color w:val="auto"/>
        </w:rPr>
        <w:t>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Средства юридических лиц за аналогичный период выросли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15% (</w:t>
      </w:r>
      <w:r>
        <w:rPr>
          <w:rFonts w:ascii="Arial" w:cs="Arial" w:eastAsia="Arial" w:hAnsi="Arial"/>
          <w:sz w:val="20"/>
          <w:szCs w:val="20"/>
          <w:color w:val="auto"/>
        </w:rPr>
        <w:t>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57,2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4" w:lineRule="auto"/>
        <w:tabs>
          <w:tab w:leader="none" w:pos="201" w:val="left"/>
        </w:tabs>
        <w:numPr>
          <w:ilvl w:val="0"/>
          <w:numId w:val="7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стимулирования сберегательной привычки у граждан с невысокими доходами в линейку банковских продуктов включен социальный вклад</w:t>
      </w:r>
      <w:r>
        <w:rPr>
          <w:rFonts w:ascii="Arial" w:cs="Arial" w:eastAsia="Arial" w:hAnsi="Arial"/>
          <w:sz w:val="11"/>
          <w:szCs w:val="11"/>
          <w:color w:val="auto"/>
        </w:rPr>
        <w:t>5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условия которого предусматривают гарантированное начисление дохода с процентной ставкой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привязанной к максимальному размеру процентной ставки по вкладам физических лиц сроком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включительно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привлекаемым кредитной организацией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Рынок облигаций показывает позитивную динамику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началу ноября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суммарный объем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облигаций в обращении по номинальной стоимости достиг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48,9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увеличившись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 год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14,9%.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 быстрыми темпами рос объем корпоративных облигаций в обращении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сравнению с государственными облигациями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результате чего их доля увеличилась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4,2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п</w:t>
      </w:r>
      <w:r>
        <w:rPr>
          <w:rFonts w:ascii="Arial" w:cs="Arial" w:eastAsia="Arial" w:hAnsi="Arial"/>
          <w:sz w:val="20"/>
          <w:szCs w:val="20"/>
          <w:color w:val="auto"/>
        </w:rPr>
        <w:t>.,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54,8%.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целом прирост портфеля корпоративных облигаций с начала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сопоставим с медианным значением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2014 – 2021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структуре заимствований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нефинансовых компаний к середине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на долю облигаций приходилось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11,7%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привлеченных средств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jc w:val="both"/>
        <w:ind w:left="6" w:right="11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Бизнес проявляет интерес к долевому финансированию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Увеличилось число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осуществивших публичное размещение акций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(IPO/SPO):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произошло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размещений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к началу декабря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данный показатель достиг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19,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стало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рекордным значением за последние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лет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рынке акций размещались компании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из широкого спектра отраслей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медицина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образование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транспорт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лизинг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недвижимость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финансовые услуги и другие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изменился профиль эмитентов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рынок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преимущественно выходят небольшие компании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начала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на российских фондовых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биржах средний объем эмиссии составил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8,1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 период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2018 – 2022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проведено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размещений акций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средний объем размещений был значительно выше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22,5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компании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субъекты малого и среднего предпринимательства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МСП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разместили на публичном рынке акций семь новых выпусков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шесть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1259840" cy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4pt" to="99.2pt,4pt" o:allowincell="f" strokecolor="#000000" strokeweight="0.25pt"/>
            </w:pict>
          </mc:Fallback>
        </mc:AlternateContent>
      </w:r>
    </w:p>
    <w:p>
      <w:pPr>
        <w:spacing w:after="0" w:line="198" w:lineRule="exact"/>
        <w:rPr>
          <w:sz w:val="20"/>
          <w:szCs w:val="20"/>
          <w:color w:val="auto"/>
        </w:rPr>
      </w:pPr>
    </w:p>
    <w:p>
      <w:pPr>
        <w:ind w:left="106" w:right="240" w:hanging="106"/>
        <w:spacing w:after="0" w:line="252" w:lineRule="auto"/>
        <w:tabs>
          <w:tab w:leader="none" w:pos="106" w:val="left"/>
        </w:tabs>
        <w:numPr>
          <w:ilvl w:val="0"/>
          <w:numId w:val="79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До 30 июня 2024 года не использовалось ограничение ПСК в зависимости от применения среднерыночных значений для сохранения возможности кредиторов определять условия предоставления по кредитам и отдельным категориям займов с учетом изменения рыночных условий.</w:t>
      </w:r>
    </w:p>
    <w:p>
      <w:pPr>
        <w:spacing w:after="0" w:line="88" w:lineRule="exact"/>
        <w:rPr>
          <w:sz w:val="20"/>
          <w:szCs w:val="20"/>
          <w:color w:val="auto"/>
        </w:rPr>
      </w:pPr>
    </w:p>
    <w:p>
      <w:pPr>
        <w:ind w:left="106" w:right="380" w:hanging="106"/>
        <w:spacing w:after="0" w:line="190" w:lineRule="exact"/>
        <w:tabs>
          <w:tab w:leader="none" w:pos="101" w:val="left"/>
        </w:tabs>
        <w:numPr>
          <w:ilvl w:val="0"/>
          <w:numId w:val="8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22.07.2024 № 202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Федеральный закон «О банках и банковской деятельности».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</w:sectPr>
      </w:pPr>
    </w:p>
    <w:bookmarkStart w:id="23" w:name="page24"/>
    <w:bookmarkEnd w:id="2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20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Текущее состояние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возможности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и вызовы для развития 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IPO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одно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SPO)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объеме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четыре выпуска высокотехнологичной компании в объеме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13,33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8,63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6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Вместе с тем капитализация рынка акций все еще остается ниже уровней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сложившихся на начало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(62,6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к началу декабря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составила около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Продолжился приток средств населения на рынок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 активов физических лиц на брокерском обслуживании и в доверительном управлении к началу октября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достиг почти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11,4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увеличившись за год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5,4%.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 них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84%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активов находились на брокерском обслуживании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16%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доверительном управлении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относительно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пропорция не изменилась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Количество розничных инвесторов достигло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45,9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составляет более половины экономически активного населения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Сохраняется высокая доля розничных инвесторов в общем объеме торгов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около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76%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ноябре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стимулирования притока долгосрочных инвестиций частных инвесторов на рынке капитала линейка долгосрочных инструментов частных инвесторов была пополнена индивидуальным инвестиционным счетом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ИИС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типа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программой долгосрочных сбережений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ПДС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которые распространяется налоговый вычет на долгосрочные сбережения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Правительство Российской Федерации совместно с Банком России проводит мероприятия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информирование граждан об этих продуктах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Возобновился рост портфелей институциональных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 портфеля пенсионных накоплений и пенсионных резервов НПФ и активов страховщиков к концу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достиг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5,35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6,1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 соответственно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увеличившись за год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18,6%.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НПФ в силу специфики своих обязательств продолжали придерживаться консервативных стратегий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обусловливает преобладание в их инвестиционных портфелях государственных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3" w:lineRule="auto"/>
        <w:tabs>
          <w:tab w:leader="none" w:pos="184" w:val="left"/>
        </w:tabs>
        <w:numPr>
          <w:ilvl w:val="0"/>
          <w:numId w:val="8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корпоративных облигаций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год доля акций в структуре инвестиций НПФ почти не изменилась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стимулирования участия НПФ в первичных размещениях акций уточнены требования по доле акций от общего объема размещения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которую может приобрести НПФ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совокупной стоимости акций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размещаемых на организованных торгах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разрешенных для приобретения НПФ</w:t>
      </w:r>
      <w:r>
        <w:rPr>
          <w:rFonts w:ascii="Arial" w:cs="Arial" w:eastAsia="Arial" w:hAnsi="Arial"/>
          <w:sz w:val="11"/>
          <w:szCs w:val="11"/>
          <w:color w:val="auto"/>
        </w:rPr>
        <w:t>7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регуляторных лимитов сохраняется потенциал вложений НПФ в акции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Портфель паевых инвестиционных фондов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ПИФ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характеризующийся более диверсифицированной структурой вложений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увеличился за год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47%,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14,9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концу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формирования доверительной среды на рынке принципиальное значение имеет качественная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заслуживающая доверия информация об участниках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эмитентах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инструментах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уже приняты рекомендации о раскрытии эмитентами информации о распределении акций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аллокации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8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Продолжается начавшееся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возвращение к раскрытию эмитентами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финансовой отчетности и иной важной для инвесторов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 перечень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допустимых исключений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следует сохранить только для чувствительной информации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95" w:lineRule="auto"/>
        <w:tabs>
          <w:tab w:leader="none" w:pos="174" w:val="left"/>
        </w:tabs>
        <w:numPr>
          <w:ilvl w:val="0"/>
          <w:numId w:val="8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отношении бенефициаров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собственников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членов органов управления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контрагентов с целью ограничения санкционных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продолжается работа по выработке требований к раскрытию дивидендной политики публичных обществ</w:t>
      </w:r>
      <w:r>
        <w:rPr>
          <w:rFonts w:ascii="Arial" w:cs="Arial" w:eastAsia="Arial" w:hAnsi="Arial"/>
          <w:sz w:val="11"/>
          <w:szCs w:val="11"/>
          <w:color w:val="auto"/>
        </w:rPr>
        <w:t>9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должно сделать акции более прозрачным инструментом для инвестирования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41275</wp:posOffset>
                </wp:positionV>
                <wp:extent cx="1259840" cy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" o:spid="_x0000_s10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.25pt" to="99.2pt,3.25pt" o:allowincell="f" strokecolor="#000000" strokeweight="0.25pt"/>
            </w:pict>
          </mc:Fallback>
        </mc:AlternateContent>
      </w:r>
    </w:p>
    <w:p>
      <w:pPr>
        <w:spacing w:after="0" w:line="183" w:lineRule="exact"/>
        <w:rPr>
          <w:sz w:val="20"/>
          <w:szCs w:val="20"/>
          <w:color w:val="auto"/>
        </w:rPr>
      </w:pPr>
    </w:p>
    <w:p>
      <w:pPr>
        <w:ind w:left="106" w:right="20" w:hanging="106"/>
        <w:spacing w:after="0" w:line="254" w:lineRule="auto"/>
        <w:tabs>
          <w:tab w:leader="none" w:pos="106" w:val="left"/>
        </w:tabs>
        <w:numPr>
          <w:ilvl w:val="0"/>
          <w:numId w:val="83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2023 году одно из двух размещений субъектов МСП было проведено эмитентом, состоящим в Едином реестре субъектов МСП, но при этом входящим в группу компаний с выручкой, превышающей 2 млрд рублей по итогам 2022 года.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ind w:left="106" w:right="20" w:hanging="106"/>
        <w:spacing w:after="0" w:line="191" w:lineRule="exact"/>
        <w:tabs>
          <w:tab w:leader="none" w:pos="102" w:val="left"/>
        </w:tabs>
        <w:numPr>
          <w:ilvl w:val="0"/>
          <w:numId w:val="84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Указания Банка России от 22.05.2024 № 6732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 «О внесении изменений в Положение Банка России от 1 марта 2017 года № 580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П» (в части пенсионных накоплений НПФ) и от 18.06.2024 № 6759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 «О внесении изменений в Указание Банка России от 5 декабря 2019 года № 5343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У» (в части пенсионных резервов НПФ).</w:t>
      </w:r>
    </w:p>
    <w:p>
      <w:pPr>
        <w:spacing w:after="0" w:line="97" w:lineRule="exact"/>
        <w:rPr>
          <w:sz w:val="20"/>
          <w:szCs w:val="20"/>
          <w:color w:val="auto"/>
        </w:rPr>
      </w:pPr>
    </w:p>
    <w:p>
      <w:pPr>
        <w:ind w:left="106" w:right="500" w:hanging="106"/>
        <w:spacing w:after="0" w:line="254" w:lineRule="auto"/>
        <w:tabs>
          <w:tab w:leader="none" w:pos="107" w:val="left"/>
        </w:tabs>
        <w:numPr>
          <w:ilvl w:val="0"/>
          <w:numId w:val="8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Информационное письмо Банка России от 28.05.2024 № ИН-02-28/33 «О раскрытии информации при проведении публичного размещения акций».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ind w:left="106" w:right="800" w:hanging="106"/>
        <w:spacing w:after="0" w:line="251" w:lineRule="auto"/>
        <w:tabs>
          <w:tab w:leader="none" w:pos="112" w:val="left"/>
        </w:tabs>
        <w:numPr>
          <w:ilvl w:val="0"/>
          <w:numId w:val="86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Проект федерального закона, направленный на закрепление единых подходов к формированию, утверждению и раскрытию внутреннего документа, определяющего дивидендную политику, находится на межведомственном согласовании. Банк России направил акционерным обществам информационное письмо от 08.02.2024 № ИН-02-28/9 о подходах к определению и раскрытию дивидендной политики.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489" w:gutter="0" w:footer="0" w:header="0"/>
        </w:sectPr>
      </w:pPr>
    </w:p>
    <w:bookmarkStart w:id="24" w:name="page25"/>
    <w:bookmarkEnd w:id="2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Текущее состояние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возможности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и вызовы для развития российского финансового рынка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целом российский финансовый рынок обладает потенциалом роста в масштабах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307" w:lineRule="auto"/>
        <w:tabs>
          <w:tab w:leader="none" w:pos="167" w:val="left"/>
        </w:tabs>
        <w:numPr>
          <w:ilvl w:val="0"/>
          <w:numId w:val="87"/>
        </w:numPr>
        <w:rPr>
          <w:rFonts w:ascii="Arial" w:cs="Arial" w:eastAsia="Arial" w:hAnsi="Arial"/>
          <w:sz w:val="19"/>
          <w:szCs w:val="19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первую очередь за счет рынка капитала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 чем в том числе свидетельствует международный опыт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настоящее время значимая роль сохраняется за банковским сектором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активы которого превышают </w:t>
      </w:r>
      <w:r>
        <w:rPr>
          <w:rFonts w:ascii="Arial" w:cs="Arial" w:eastAsia="Arial" w:hAnsi="Arial"/>
          <w:sz w:val="19"/>
          <w:szCs w:val="19"/>
          <w:color w:val="auto"/>
        </w:rPr>
        <w:t>95,5%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ВВП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что сопоставимо со многими странами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При этом суммарные активы российских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</w:t>
      </w:r>
      <w:r>
        <w:rPr>
          <w:rFonts w:ascii="Arial" w:cs="Arial" w:eastAsia="Arial" w:hAnsi="Arial"/>
          <w:sz w:val="19"/>
          <w:szCs w:val="19"/>
          <w:color w:val="auto"/>
        </w:rPr>
        <w:t>небанковских финансовых посредников пока составляют менее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30%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ВВП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Для сравнения</w:t>
      </w:r>
      <w:r>
        <w:rPr>
          <w:rFonts w:ascii="Arial" w:cs="Arial" w:eastAsia="Arial" w:hAnsi="Arial"/>
          <w:sz w:val="19"/>
          <w:szCs w:val="19"/>
          <w:color w:val="auto"/>
        </w:rPr>
        <w:t>:</w:t>
      </w:r>
    </w:p>
    <w:p>
      <w:pPr>
        <w:spacing w:after="0" w:line="2" w:lineRule="exact"/>
        <w:rPr>
          <w:rFonts w:ascii="Arial" w:cs="Arial" w:eastAsia="Arial" w:hAnsi="Arial"/>
          <w:sz w:val="19"/>
          <w:szCs w:val="19"/>
          <w:color w:val="auto"/>
        </w:rPr>
      </w:pPr>
    </w:p>
    <w:p>
      <w:pPr>
        <w:ind w:left="6" w:right="60" w:hanging="6"/>
        <w:spacing w:after="0" w:line="294" w:lineRule="auto"/>
        <w:tabs>
          <w:tab w:leader="none" w:pos="167" w:val="left"/>
        </w:tabs>
        <w:numPr>
          <w:ilvl w:val="0"/>
          <w:numId w:val="8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Индии и Китае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чьи показатели по данному сегменту среди стран БРИКС ближе к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активы пенсионных фондов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ПИФ и страховщиков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40%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российском рынке число публичных размещений акций пока не превышает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год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отличие от других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где они могут исчисляться сотнями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исчерпаны и возможности развития облигационного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 рынка облигаций к ВВП в Индии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ближайшей к России по этому показателю среди стран БРИКС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превышает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50%,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почти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раза больше российских показателей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460" w:hanging="6"/>
        <w:spacing w:after="0" w:line="294" w:lineRule="auto"/>
        <w:tabs>
          <w:tab w:leader="none" w:pos="202" w:val="left"/>
        </w:tabs>
        <w:numPr>
          <w:ilvl w:val="0"/>
          <w:numId w:val="8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конца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отход от использования в кредитовании валют недружественных стран сопровождается ростом значимости валют дружественных стран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первом полугодии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российские банки активизировали выдачу валютных кредитов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было связано в том числе с ужесточением 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кредитных условий и более выгодными ставками по кредитам в дружественных валютах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 августе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сентябре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рост валютных кредитов остановился на фоне ограниченной валютной ликвидности на российском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сохранения финансовой стабильности на валютном рынке в условиях санкционных ограничений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ПАО Московская Биржа Банк России расширил ежедневный лимит по своему инструменту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валютный своп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на ежедневной основе предоставляет участникам торгов возможность привлечь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3" w:lineRule="auto"/>
        <w:tabs>
          <w:tab w:leader="none" w:pos="163" w:val="left"/>
        </w:tabs>
        <w:numPr>
          <w:ilvl w:val="0"/>
          <w:numId w:val="8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него юаневую ликвидность в рамках установленного лимита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фоне снижения предложения юаней на бирже отдельными участниками и одновременного роста спроса на них для регулирования открытой валютной позиции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ОВП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банки с июня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предъявляют повышенный спрос на юаневые свопы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минимизации влияния операций Банка России на рыночное ценообразование было принято решение о повышении процентных ставок Банка России на рынке своп по продаже иностранной валюты с последующим выкупом</w:t>
      </w:r>
      <w:r>
        <w:rPr>
          <w:rFonts w:ascii="Arial" w:cs="Arial" w:eastAsia="Arial" w:hAnsi="Arial"/>
          <w:sz w:val="11"/>
          <w:szCs w:val="11"/>
          <w:color w:val="auto"/>
        </w:rPr>
        <w:t>10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Предоставление банкам валютной ликвидности позволяет избежать резкого роста ставок валютного денежного рынка и дает возможность участникам рынка более плавно подстроиться к изменяющимся условиям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Однако данный инструмент не может являться постоянным источником валютной ликвидности и тем более не может быть источником валютного фондирования для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Таким источником фондирования в текущих условиях могут являться только средства клиентов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поскольку валютные депозиты компаний также отличаются повышенной волатильностью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предпочтительным сценарием для банков является дальнейшее снижение валютизации балансов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 w:right="6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Продолжилось развитие международного взаимодействия с дружественными странами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выстраивание системы платежей и расчетов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сети корреспондентских отношений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Расширяется использование рубля и национальных валют дружественных стран в расчетах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Доля операций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294" w:lineRule="auto"/>
        <w:tabs>
          <w:tab w:leader="none" w:pos="170" w:val="left"/>
        </w:tabs>
        <w:numPr>
          <w:ilvl w:val="0"/>
          <w:numId w:val="9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соответствующими валютами в расчетах за экспорт на конец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достигла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81,7%,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импорт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81,5% (</w:t>
      </w:r>
      <w:r>
        <w:rPr>
          <w:rFonts w:ascii="Arial" w:cs="Arial" w:eastAsia="Arial" w:hAnsi="Arial"/>
          <w:sz w:val="20"/>
          <w:szCs w:val="20"/>
          <w:color w:val="auto"/>
        </w:rPr>
        <w:t>годом ранее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75,8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72,4%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соответственно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состоянию на начало декабря </w:t>
      </w:r>
      <w:r>
        <w:rPr>
          <w:rFonts w:ascii="Arial" w:cs="Arial" w:eastAsia="Arial" w:hAnsi="Arial"/>
          <w:sz w:val="20"/>
          <w:szCs w:val="20"/>
          <w:color w:val="auto"/>
        </w:rPr>
        <w:t>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на рынке спот ПАО Московская Биржа доступны для торгов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валют дружественных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стран в паре с российским рублем по ряду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в дальнейшем позволяют использовать приобретенную иностранную валюту во внешнеэкономической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Прорабатывается использование цифровых прав и цифровых валют в международных расчетах</w:t>
      </w:r>
      <w:r>
        <w:rPr>
          <w:rFonts w:ascii="Arial" w:cs="Arial" w:eastAsia="Arial" w:hAnsi="Arial"/>
          <w:sz w:val="11"/>
          <w:szCs w:val="11"/>
          <w:color w:val="auto"/>
        </w:rPr>
        <w:t>11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33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Цифровая и платежная инфраструктура обеспечивает потребности экономики и финансового рынка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продолжая развиваться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Потребители доверяют цифровым платежным инструментам и расширяют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1259840" cy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" o:spid="_x0000_s10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35pt" to="99.2pt,1.35pt" o:allowincell="f" strokecolor="#000000" strokeweight="0.25pt"/>
            </w:pict>
          </mc:Fallback>
        </mc:AlternateConten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91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Надбавка к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O/N SHIBOR (Overnight Shanghai Interbank Offered Rate)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была увеличена с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5,5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до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12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процентных пунктов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8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80"/>
        <w:spacing w:after="0" w:line="254" w:lineRule="auto"/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Таким образом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фактическое значение ставки Банка России по иностранной валюте выросло с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7,0%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на начало сентября до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13,5%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в конце месяца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26" w:hanging="126"/>
        <w:spacing w:after="0"/>
        <w:tabs>
          <w:tab w:leader="none" w:pos="126" w:val="left"/>
        </w:tabs>
        <w:numPr>
          <w:ilvl w:val="0"/>
          <w:numId w:val="91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см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направление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3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Цифровизация финансового рынка и развитие платежной инфраструктуры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465" w:gutter="0" w:footer="0" w:header="0"/>
        </w:sectPr>
      </w:pPr>
    </w:p>
    <w:bookmarkStart w:id="25" w:name="page26"/>
    <w:bookmarkEnd w:id="2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0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95"/>
              </w:rPr>
              <w:t>22</w:t>
            </w: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Текущее состояние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возможности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и вызовы для развития 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их использование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Доля безналичных платежей в розничном обороте продолжила уверенно расти и по итогам первого полугодия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достигла уровня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84,9%.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фоне технологического развития в экономике продолжается рост популярности платформенной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модели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Российская платформенная индустрия показывает высокую устойчивость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160" w:hanging="6"/>
        <w:spacing w:after="0" w:line="294" w:lineRule="auto"/>
        <w:tabs>
          <w:tab w:leader="none" w:pos="166" w:val="left"/>
        </w:tabs>
        <w:numPr>
          <w:ilvl w:val="0"/>
          <w:numId w:val="9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отечественные игроки укрепили лидирующие позиции в большинстве сегментов российского рынка и внесли свой вклад в формирование технологической независимости страны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Продолжается экосистемная трансформация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обусловливает сохранение актуальности выработки подходов к регулированию экосистем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обеспечивающих сохранение преимуществ для граждан и бизнеса при контроле рисков для конкурентной среды и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Продолжает развиваться сегмент цифровых финансовых активов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ЦФА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Количество операторов информационных систем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ОИС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которых осуществляется выпуск ЦФА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начало декабря составило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единиц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увеличившись за год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Большинство ОИС завершили процесс тестирования своих ИТ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решений и перешли к полноценной работе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результате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уже наблюдается заметный рост объема выпусков ЦФА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Совокупный объем сделок по приобретению ЦФА при выпуске вырос почти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372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 за три квартала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Существенно возросло число зарегистрированных пользователей информационных 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составив по итогам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почти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241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тыс</w:t>
      </w:r>
      <w:r>
        <w:rPr>
          <w:rFonts w:ascii="Arial" w:cs="Arial" w:eastAsia="Arial" w:hAnsi="Arial"/>
          <w:sz w:val="20"/>
          <w:szCs w:val="20"/>
          <w:color w:val="auto"/>
        </w:rPr>
        <w:t>.,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149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тыс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пользователей больше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чем по итогам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(+160%).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Число обладателей ЦФА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составляет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тыс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пользователей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jc w:val="both"/>
        <w:ind w:left="6" w:right="500"/>
        <w:spacing w:after="0" w:line="31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Интерес к рынку ЦФА проявляют как крупные компании финансового и промышленных секторов экономики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так и субъекты МСП</w:t>
      </w:r>
      <w:r>
        <w:rPr>
          <w:rFonts w:ascii="Arial" w:cs="Arial" w:eastAsia="Arial" w:hAnsi="Arial"/>
          <w:sz w:val="19"/>
          <w:szCs w:val="19"/>
          <w:color w:val="auto"/>
        </w:rPr>
        <w:t>: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объем привлеченных средств субъектами МСП при размещении выпусков ЦФА за все время функционирования рынка цифровых прав достиг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10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млрд рублей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126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продолжает пилотирование операций с цифровыми рублями на ограниченном круге пользователей и участников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время пилотирования платформа подтвердила свою работоспособность и функциональность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этого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 целях поэтапного увеличения количества участников пилотирования расширены параметры пилота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 600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9000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физических лиц 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юридических лиц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Развивается Система быстрых платежей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СБП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ее все активнее используют граждане и бизнес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состоянию на начало декабря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к СБП было подключено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кредитные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СБП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проведено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11,9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операций на сумму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60,1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 весь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7,2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операций на сумму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31,0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Оплата товаров и услуг через СБП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один из наиболее активно растущих сервисов 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позволяющий бизнесу значительно сократить издержки на прием безналичной оплаты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80%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торгово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сервисных предприятий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ТСП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принимающих оплату через СБП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являются МСП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Продолжается рост операций с применением бесконтактных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 использованием бесконтактных карт и платежных приложений на смартфонах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(pay-</w:t>
      </w:r>
      <w:r>
        <w:rPr>
          <w:rFonts w:ascii="Arial" w:cs="Arial" w:eastAsia="Arial" w:hAnsi="Arial"/>
          <w:sz w:val="20"/>
          <w:szCs w:val="20"/>
          <w:color w:val="auto"/>
        </w:rPr>
        <w:t>сервисов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было осуществлено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39,0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операций с использованием бесконтактных технологий на сумму около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17%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количеству 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21,1%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объему больше по сравнению с аналогичным периодом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jc w:val="both"/>
        <w:ind w:left="6" w:right="5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Доля национальной платежной системы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общем объеме внутрироссийских операций увеличилась и по итогам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достигла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64,1%.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Эта система также позволяет использовать технологию бесконтактной оплаты покупок с помощью смартфона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реализацию инфраструктурных проектов и будет способствовать созданию правовых условий и внедрению инноваций на финансовом рынке в целях обеспечения платежной независимости страны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96" w:gutter="0" w:footer="0" w:header="0"/>
        </w:sectPr>
      </w:pPr>
    </w:p>
    <w:bookmarkStart w:id="26" w:name="page27"/>
    <w:bookmarkEnd w:id="2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Текущее состояние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возможности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и вызовы для развития 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Ключевую роль в качестве надежного и безопасного канала обмена платежной информацией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банков играет Система передачи финансовых сообщений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СПФС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СПФС стала основным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каналом обмена финансовой информацией при проведении внутрироссийских расчетов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корреспондентским счетам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общее количество переданных через СПФС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сообщений выросло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22,2%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сравнению с трафиком аналогичного периода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начало декабря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пользователями СПФС являлись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Продолжил развиваться механизм удаленной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повышает доступность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293" w:lineRule="auto"/>
        <w:tabs>
          <w:tab w:leader="none" w:pos="179" w:val="left"/>
        </w:tabs>
        <w:numPr>
          <w:ilvl w:val="0"/>
          <w:numId w:val="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удобство для потребителей различных финансовых услуг</w:t>
      </w:r>
      <w:r>
        <w:rPr>
          <w:rFonts w:ascii="Arial" w:cs="Arial" w:eastAsia="Arial" w:hAnsi="Arial"/>
          <w:sz w:val="11"/>
          <w:szCs w:val="11"/>
          <w:color w:val="auto"/>
        </w:rPr>
        <w:t>12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Единой биометрической системе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ЕБС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обеспечивающей хранение и обработку биометрических данных в целях проведения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удаленной идентификации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обеспечено подключение широкого круга банков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 xml:space="preserve">более </w:t>
      </w:r>
      <w:r>
        <w:rPr>
          <w:rFonts w:ascii="Arial" w:cs="Arial" w:eastAsia="Arial" w:hAnsi="Arial"/>
          <w:sz w:val="20"/>
          <w:szCs w:val="20"/>
          <w:color w:val="auto"/>
        </w:rPr>
        <w:t>180),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увеличилось число биометрических образцов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собранных в отделениях банков и через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запущенное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мобильное приложение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Госуслуги Биометрия</w:t>
      </w:r>
      <w:r>
        <w:rPr>
          <w:rFonts w:ascii="Arial" w:cs="Arial" w:eastAsia="Arial" w:hAnsi="Arial"/>
          <w:sz w:val="20"/>
          <w:szCs w:val="20"/>
          <w:color w:val="auto"/>
        </w:rPr>
        <w:t>»,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позволяющее гражданам регистрироваться в ЕБС самостоятельно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развития сервисов с использованием ЕБС обеспечена возможность применения биометрии для получения усиленной квалифицированной электронной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УКЭП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оплаты покупок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Продолжилось также развитие инфраструктуры Цифрового профиля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обеспечивающего удобный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292" w:lineRule="auto"/>
        <w:tabs>
          <w:tab w:leader="none" w:pos="179" w:val="left"/>
        </w:tabs>
        <w:numPr>
          <w:ilvl w:val="0"/>
          <w:numId w:val="9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безопасный обмен данными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необходимыми для получения услуг в цифровом виде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между гражданами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бизнесом и государством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Услуги с использованием Цифрового профиля физического лица предоставляют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145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момента запуска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по состоянию на конец</w:t>
      </w:r>
    </w:p>
    <w:p>
      <w:pPr>
        <w:ind w:left="6" w:right="58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граждане воспользовались 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78,6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раз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инфраструктуре Цифрового профиля юридического лица подключены три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60" w:hanging="6"/>
        <w:spacing w:after="0" w:line="293" w:lineRule="auto"/>
        <w:tabs>
          <w:tab w:leader="none" w:pos="193" w:val="left"/>
        </w:tabs>
        <w:numPr>
          <w:ilvl w:val="0"/>
          <w:numId w:val="95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расширения доступа населения к финансовым услугам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содействия развитию конкуренции на финансовом рынке проводится работа по развитию обмена данными посредством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полученной обратной связи и обсуждений с участниками рынка был сформирован подход по внедрению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гибридном формате и опубликован документ </w:t>
      </w:r>
      <w:hyperlink r:id="rId1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«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Основные принципы и этапы внедрения Открытых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API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на финансовом рынке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»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.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Проводятся четыре</w:t>
      </w:r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r>
        <w:rPr>
          <w:rFonts w:ascii="Arial" w:cs="Arial" w:eastAsia="Arial" w:hAnsi="Arial"/>
          <w:sz w:val="20"/>
          <w:szCs w:val="20"/>
          <w:color w:val="000000"/>
        </w:rPr>
        <w:t>пилотных проекта</w:t>
      </w:r>
      <w:r>
        <w:rPr>
          <w:rFonts w:ascii="Arial" w:cs="Arial" w:eastAsia="Arial" w:hAnsi="Arial"/>
          <w:sz w:val="20"/>
          <w:szCs w:val="20"/>
          <w:color w:val="000000"/>
        </w:rPr>
        <w:t>: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персональный финансовый помощник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корпоративный мультибанкинг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цифровое согласование обслуживания по договору ДМС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цифровое урегулирование ДТП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Таким образом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российский финансовый рынок в основном восстановился после шоков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поступательно развивается и вносит вклад в развитие экономики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при разработке направлений и задач по развитию финансового рынка на среднесрочном горизонте необходимо учитывать комплекс факторов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31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Задача трансформации российской экономики в текущих условиях реализуется за счет внутренних ресурсов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И задача финансового рынка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–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вносить вклад в этот процесс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трансформируя сбережения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93" w:lineRule="auto"/>
        <w:tabs>
          <w:tab w:leader="none" w:pos="167" w:val="left"/>
        </w:tabs>
        <w:numPr>
          <w:ilvl w:val="0"/>
          <w:numId w:val="9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инвестиции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важно обеспечить доверие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предоставить отвечающие потребностям граждан и бизнеса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Компаниям разного масштаба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крупным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наличие соответствующих механизмов и инструментария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в условиях отсутствия возможностей внешних заимствований позволят удовлетворить спрос на финансирование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Важную роль играет емкость внутреннего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которую необходимо повышать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расширяя возможности для финансирования бизнеса и участия разных групп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снижения волатильности и повышения устойчивости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jc w:val="both"/>
        <w:ind w:left="6" w:right="340" w:hanging="6"/>
        <w:spacing w:after="0" w:line="301" w:lineRule="auto"/>
        <w:tabs>
          <w:tab w:leader="none" w:pos="201" w:val="left"/>
        </w:tabs>
        <w:numPr>
          <w:ilvl w:val="0"/>
          <w:numId w:val="9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момент происходит быстрый рост больших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распространение технологий искусственного интеллекта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машинного обучения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инструмента для обработки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149860</wp:posOffset>
                </wp:positionV>
                <wp:extent cx="1259840" cy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.8pt" to="99.2pt,11.8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p>
      <w:pPr>
        <w:spacing w:after="0" w:line="373" w:lineRule="exact"/>
        <w:rPr>
          <w:sz w:val="20"/>
          <w:szCs w:val="20"/>
          <w:color w:val="auto"/>
        </w:rPr>
      </w:pPr>
    </w:p>
    <w:p>
      <w:pPr>
        <w:ind w:left="146" w:right="400" w:hanging="146"/>
        <w:spacing w:after="0" w:line="252" w:lineRule="auto"/>
        <w:tabs>
          <w:tab w:leader="none" w:pos="146" w:val="left"/>
        </w:tabs>
        <w:numPr>
          <w:ilvl w:val="0"/>
          <w:numId w:val="9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июне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2018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года запущен механизм удаленной идентификации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который позволяет дистанционно открывать счета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получать кредиты и осуществлять переводы после прохождения удаленной идентификации с использованием биометрических персональных данных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(</w:t>
      </w:r>
      <w:r>
        <w:rPr>
          <w:rFonts w:ascii="Arial" w:cs="Arial" w:eastAsia="Arial" w:hAnsi="Arial"/>
          <w:sz w:val="16"/>
          <w:szCs w:val="16"/>
          <w:color w:val="auto"/>
        </w:rPr>
        <w:t>изображение лица и голос</w:t>
      </w:r>
      <w:r>
        <w:rPr>
          <w:rFonts w:ascii="Arial" w:cs="Arial" w:eastAsia="Arial" w:hAnsi="Arial"/>
          <w:sz w:val="16"/>
          <w:szCs w:val="16"/>
          <w:color w:val="auto"/>
        </w:rPr>
        <w:t>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  <w:type w:val="continuous"/>
        </w:sectPr>
      </w:pPr>
    </w:p>
    <w:bookmarkStart w:id="27" w:name="page28"/>
    <w:bookmarkEnd w:id="2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24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Текущее состояние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возможности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и вызовы для развития 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240" w:hanging="6"/>
        <w:spacing w:after="0" w:line="290" w:lineRule="auto"/>
        <w:tabs>
          <w:tab w:leader="none" w:pos="186" w:val="left"/>
        </w:tabs>
        <w:numPr>
          <w:ilvl w:val="0"/>
          <w:numId w:val="9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анализа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для решения иных задач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Цифровые технологии могут обеспечить более эффективные процессы принятия решений и надзора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расширить доступность различных видов финансовых инструментов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повысить производительность труда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России своевременное внедрение и развитие элементов цифровой инфраструктуры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1080" w:hanging="6"/>
        <w:spacing w:after="0" w:line="295" w:lineRule="auto"/>
        <w:tabs>
          <w:tab w:leader="none" w:pos="173" w:val="left"/>
        </w:tabs>
        <w:numPr>
          <w:ilvl w:val="0"/>
          <w:numId w:val="9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надежные системы защиты данных позволят сохранить конкурентоспособность и инвестиционную привлекательность российской экономики</w:t>
      </w: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9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финансового рынка для иностранных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96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Усиление фрагментации мировой экономики 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ужесточение санкционного давления может негативно повлиять на показатели внешней торговли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 привлеченного иностранного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осложнить дальнейшее взаимодействие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540" w:hanging="6"/>
        <w:spacing w:after="0" w:line="295" w:lineRule="auto"/>
        <w:tabs>
          <w:tab w:leader="none" w:pos="177" w:val="left"/>
        </w:tabs>
        <w:numPr>
          <w:ilvl w:val="0"/>
          <w:numId w:val="10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дружественными странами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Поэтому особую актуальность сохраняет вопрос выстраивания системы международных платежей и расчетов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построение мостов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депозитарных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валютных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товарных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иностранными партнерами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Вопросы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 устойчивым развитием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сохраняются в глобальной повестке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несмотря на санкционные ограничения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Россия остается участником международных экономических отношений и международной финансовой системы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необходимо поддерживать конкурентоспособность и инвестиционную привлекательность российской экономики и финансового рынка для иностранных инвесторов путем своевременной реализации мер по внедрению и развитию устойчивого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Сохранение в дружественных странах нестабильных макроэкономических условий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замедление или снижение их экономической активности могут негативно повлиять на показатели внешней торговли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 привлеченного иностранного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может стать фактором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подрывающим финансовую стабильность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влиять на темпы роста экономики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Поддержание стабильных и предсказуемых макроэкономических условий будет продолжено через последовательную 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кредитную политику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нацеленную на ценовую стабильность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взвешенную бюджетную политику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следующую бюджетному правилу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через ограничение рисков для системной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Необходимо учитывать и своевременно реагировать на изменения внешних условий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дисбалансы на зарубежных рынках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геополитические факторы и риски усиления санкций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вторичных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Принимая во внимание текущие тенденции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вызовы и возможности для развития российского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совместно с Правительством Российской Федерации будет содействовать его развитию на среднесрочном горизонте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проводя работу по следующим ключевым направлениям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создание условий для усиления роли финансового рынка в финансировании трансформации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экономики при сохранении устойчивости финансового сектора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защита прав потребителей финансовых услуг и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финансовой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доступности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19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цифровизация финансового рынка и развитие платежной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системы внешнеторговых платежей и расчетов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Подробное изложение запланированных Банком России мер на ближайшие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представлено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0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>разделе</w:t>
      </w:r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3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440" w:gutter="0" w:footer="0" w:header="0"/>
        </w:sectPr>
      </w:pPr>
    </w:p>
    <w:bookmarkStart w:id="28" w:name="page29"/>
    <w:bookmarkEnd w:id="28"/>
    <w:tbl>
      <w:tblPr>
        <w:tblLayout w:type="fixed"/>
        <w:tblInd w:w="534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368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368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368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" o:spid="_x0000_s10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ind w:left="6" w:right="680"/>
        <w:spacing w:after="0" w:line="26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РАЗДЕЛ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3.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НАПРАВЛЕНИЯ РАЗВИТИЯ РОССИЙСКОГО ФИНАНСОВОГО РЫНКА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jc w:val="both"/>
        <w:ind w:left="6" w:right="340" w:hanging="6"/>
        <w:spacing w:after="0" w:line="259" w:lineRule="auto"/>
        <w:tabs>
          <w:tab w:leader="none" w:pos="275" w:val="left"/>
        </w:tabs>
        <w:numPr>
          <w:ilvl w:val="0"/>
          <w:numId w:val="102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1.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Создание условий для усиления роли финансового рынка в финансировании трансформации экономики при сохранении устойчивости финансового сектора</w:t>
      </w:r>
    </w:p>
    <w:p>
      <w:pPr>
        <w:spacing w:after="0" w:line="219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Перед нашей страной стоят масштабные задачи по структурной трансформации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ее модернизации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достижению технологической независимости и переориентации международных экономических связей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как минимум на среднесрочном горизонте следует рассчитывать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3" w:lineRule="auto"/>
        <w:tabs>
          <w:tab w:leader="none" w:pos="174" w:val="left"/>
        </w:tabs>
        <w:numPr>
          <w:ilvl w:val="0"/>
          <w:numId w:val="10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основном на внутренние источники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Важным аспектом является развитие и повышение доступности инструментов рынка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первую очередь долевого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ранее проделанной работы по расширению линейки долгосрочных инструментов сбережений и инвестиций особое значение приобретает продвижение этих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повышение информированности населения о них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Сохраняет актуальность расширение финансирования устойчивого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чему будет способствовать дальнейшее развитие соответствующей инфраструктуры и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полноценного и постоянного выполнения финансовым рынком своих функций важно укрепление доверия к нему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необходимы системная финансовая стабильность и качественная бесперебойная работа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эффективная защита прав потребителей финансовых услуг и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наличие достоверной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актуальной и заслуживающей доверия информации о финансовых посредниках и эмитентах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Важным условием решения стоящих перед экономикой задач является эффективное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функционирование финансовых организаций при сохранении рыночных основ работы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Принимая решение о стимулирующих мерах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нужно учитывать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что они должны быть в первую очередь направлены на развитие тех направлений экономической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инструментов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будут в наибольшей мере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способствовать модернизации и технологической независимости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формированию долгосрочных сбережений и инвестиций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введении и продлении таких мер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важно соблюсти баланс и не допустить накопления проблем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могут создавать угрозы для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99" w:lineRule="exact"/>
        <w:rPr>
          <w:sz w:val="20"/>
          <w:szCs w:val="20"/>
          <w:color w:val="auto"/>
        </w:rPr>
      </w:pPr>
    </w:p>
    <w:p>
      <w:pPr>
        <w:ind w:left="6" w:right="86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1.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Развитие инструментов долгосрочных сбережений и инвестиций для граждан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5" w:lineRule="auto"/>
        <w:tabs>
          <w:tab w:leader="none" w:pos="210" w:val="left"/>
        </w:tabs>
        <w:numPr>
          <w:ilvl w:val="0"/>
          <w:numId w:val="10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учетом ограничения доступа России к внешнему рынку капитала возросла роль внутренних источников финансирования развития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одним из которых могут выступать сбережения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 России у граждан формируется базовая потребность в долгосрочных сбережениях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92" w:lineRule="auto"/>
        <w:tabs>
          <w:tab w:leader="none" w:pos="201" w:val="left"/>
        </w:tabs>
        <w:numPr>
          <w:ilvl w:val="0"/>
          <w:numId w:val="10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связи с этим финансовая система должна обеспечивать наличие широкого инструментария для долгосрочных сбережений и инвестиций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отвечал бы потребностям граждан с точки зрения доходности и сохранности средств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защиты от инфляции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Такие инструменты должны быть доступны в различных сегментах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совместно с Правительством Российской Федерации продолжит реализацию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повышение привлекательности долгосрочных вложений для различных групп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создание условий для развития такой линейки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вкладов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ИИС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98" w:gutter="0" w:footer="0" w:header="0"/>
        </w:sectPr>
      </w:pPr>
    </w:p>
    <w:bookmarkStart w:id="29" w:name="page30"/>
    <w:bookmarkEnd w:id="2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26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ПДС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страховых продуктов и прочего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важной задачей является информирование граждан о возможностях использования таких продуктов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Продолжится совершенствование механизма ИИС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Наряду с введением долгосрочного ИИС типа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возможностью снятия средств с него в связи с особой жизненной ситуацией</w:t>
      </w:r>
      <w:r>
        <w:rPr>
          <w:rFonts w:ascii="Arial" w:cs="Arial" w:eastAsia="Arial" w:hAnsi="Arial"/>
          <w:sz w:val="11"/>
          <w:szCs w:val="11"/>
          <w:color w:val="auto"/>
        </w:rPr>
        <w:t>1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включением в перечень финансовых посредников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которые можно открыть ИИС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управляющих компаний открытых ПИФ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рассмотрена возможность открытия ИИС через операторов финансовых платформ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обеспечения сохранности вложений на ИИС типа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банкротства брокера или управляющей компании предполагается запуск механизма компенсации стоимости имущества на ИИС типа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</w:t>
      </w:r>
      <w:r>
        <w:rPr>
          <w:rFonts w:ascii="Arial" w:cs="Arial" w:eastAsia="Arial" w:hAnsi="Arial"/>
          <w:sz w:val="11"/>
          <w:szCs w:val="11"/>
          <w:color w:val="auto"/>
        </w:rPr>
        <w:t>2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участие в котором предполагается добровольным для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осуществляющих открытие и ведение ИИС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дополнительно оценить возможность предоставления инвесторам права вывода купонного дохода и доходов от доверительного управления имуществом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составляющим ПИФ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ИИС типа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без потери права на налоговую льготу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у инвесторов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появится возможность выводить с ИИС типа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дивиденды без закрытия счета и потери прав на налоговые льготы</w:t>
      </w:r>
      <w:r>
        <w:rPr>
          <w:rFonts w:ascii="Arial" w:cs="Arial" w:eastAsia="Arial" w:hAnsi="Arial"/>
          <w:sz w:val="11"/>
          <w:szCs w:val="11"/>
          <w:color w:val="auto"/>
        </w:rPr>
        <w:t>3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7" w:lineRule="exact"/>
        <w:rPr>
          <w:sz w:val="20"/>
          <w:szCs w:val="20"/>
          <w:color w:val="auto"/>
        </w:rPr>
      </w:pPr>
    </w:p>
    <w:p>
      <w:pPr>
        <w:ind w:left="6" w:right="5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Другой инструмент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запущенный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>,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ПДС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участие в которой позволяет гражданам получать ежемесячный дополнительный доход в будущем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после прекращения трудовой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создать подушку безопасности на случай особых жизненных ситуаций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Взносы в программу формируются за счет добровольных взносов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перевода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4" w:lineRule="auto"/>
        <w:tabs>
          <w:tab w:leader="none" w:pos="174" w:val="left"/>
        </w:tabs>
        <w:numPr>
          <w:ilvl w:val="0"/>
          <w:numId w:val="1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программу пенсионных накоплений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за счет инвестиционного дохода от управления взносами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стимулирования участия в ПДС со стороны государства предусмотрено софинансирование взносов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совместно с Правительством Российской Федерации принимать меры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привлечение граждан к участию в ПДС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планируется проработать вопрос о совершенствовании налогового регулирования ПДС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420" w:hanging="6"/>
        <w:spacing w:after="0" w:line="292" w:lineRule="auto"/>
        <w:tabs>
          <w:tab w:leader="none" w:pos="201" w:val="left"/>
        </w:tabs>
        <w:numPr>
          <w:ilvl w:val="0"/>
          <w:numId w:val="10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отношении ПДС по аналогии с продуктами негосударственного пенсионного обеспечения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НПО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действует механизм гарантирования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обеспечивающий до обращения за выплатами сохранность в пределах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рублей добровольных взносов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после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осуществление периодических выплат по договорам долгосрочных сбережений в случаях банкротства НПФ или аннулирования его лицензии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договорам долгосрочных сбережений до обращения за выплатами дополнительно в полном объеме гарантируется сохранность средств пенсионных накоплений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переведенных в ПДС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средств государственного софинансирования и доходов от их размещения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Важным фактором дальнейшего развития как ПДС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НПО является более активное участие работодателей в формировании корпоративных программ НПО и софинансировании взносов работников по договору долгосрочных сбережений с НПФ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будет способствовать привлечению в ПДС и НПО большего числа работающих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 которых при участии работодателей будет формироваться дополнительный доход к будущей пенсии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6" w:right="5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средства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внесенные на ИИС типа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ПДС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распространяется налоговый вычет по НДФЛ на долгосрочные сбережения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Данный налоговый вычет предоставляется в размере расходов физического лица на формирование долгосрочных сбережений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совокупности не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тыс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рублей в год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 размере доходов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полученных по ИИС типа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он будет распространяться на договоры НПО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также проработать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147320</wp:posOffset>
                </wp:positionV>
                <wp:extent cx="1259840" cy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.6pt" to="99.2pt,11.6pt" o:allowincell="f" strokecolor="#000000" strokeweight="0.25pt"/>
            </w:pict>
          </mc:Fallback>
        </mc:AlternateContent>
      </w:r>
    </w:p>
    <w:p>
      <w:pPr>
        <w:spacing w:after="0" w:line="349" w:lineRule="exact"/>
        <w:rPr>
          <w:sz w:val="20"/>
          <w:szCs w:val="20"/>
          <w:color w:val="auto"/>
        </w:rPr>
      </w:pPr>
    </w:p>
    <w:p>
      <w:pPr>
        <w:ind w:left="86" w:right="160" w:hanging="86"/>
        <w:spacing w:after="0" w:line="191" w:lineRule="exact"/>
        <w:tabs>
          <w:tab w:leader="none" w:pos="87" w:val="left"/>
        </w:tabs>
        <w:numPr>
          <w:ilvl w:val="0"/>
          <w:numId w:val="10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Ситуации, когда средства потребовались на оплату дорогостоящего лечения, перечень которого утвержден распоряжением Правительства Российской Федерации от 18.01.2024 № 76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р «Об утверждении перечня дорогостоящих видов лечения для целей применения пункта 9 статьи 10.2-1 Федерального закона от 22.04.1996 № 39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рынке ценных бумаг».</w:t>
      </w:r>
    </w:p>
    <w:p>
      <w:pPr>
        <w:spacing w:after="0" w:line="97" w:lineRule="exact"/>
        <w:rPr>
          <w:sz w:val="20"/>
          <w:szCs w:val="20"/>
          <w:color w:val="auto"/>
        </w:rPr>
      </w:pPr>
    </w:p>
    <w:p>
      <w:pPr>
        <w:ind w:left="106" w:hanging="106"/>
        <w:spacing w:after="0"/>
        <w:tabs>
          <w:tab w:leader="none" w:pos="106" w:val="left"/>
        </w:tabs>
        <w:numPr>
          <w:ilvl w:val="0"/>
          <w:numId w:val="109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Законопроект № 579984-8 принят Государственной Думой в первом чтении 24.07.2024.</w:t>
      </w:r>
    </w:p>
    <w:p>
      <w:pPr>
        <w:spacing w:after="0" w:line="99" w:lineRule="exact"/>
        <w:rPr>
          <w:sz w:val="20"/>
          <w:szCs w:val="20"/>
          <w:color w:val="auto"/>
        </w:rPr>
      </w:pPr>
    </w:p>
    <w:p>
      <w:pPr>
        <w:ind w:left="106" w:right="360" w:hanging="106"/>
        <w:spacing w:after="0" w:line="252" w:lineRule="auto"/>
        <w:tabs>
          <w:tab w:leader="none" w:pos="106" w:val="left"/>
        </w:tabs>
        <w:numPr>
          <w:ilvl w:val="0"/>
          <w:numId w:val="11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«О внесении изменений в Федеральный закон «Об инвестиционных фондах» и отдельные законодательные акты Российской Федерации (законопроект № 557693-8 принят Государственной Думой в третьем чтении 17.12.2024).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bookmarkStart w:id="30" w:name="page31"/>
    <w:bookmarkEnd w:id="3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распространение льготы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существующей для работодателей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участвующих в формировании накоплений своих сотрудников в системе НПО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ПДС</w:t>
      </w:r>
      <w:r>
        <w:rPr>
          <w:rFonts w:ascii="Arial" w:cs="Arial" w:eastAsia="Arial" w:hAnsi="Arial"/>
          <w:sz w:val="11"/>
          <w:szCs w:val="11"/>
          <w:color w:val="auto"/>
        </w:rPr>
        <w:t>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рассмотреть вопрос о возможности распространения на долгосрочные договоры страхования жизни налогового вычета на долгосрочные инвестиции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рынке страхования создаются условия для запуска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нового продукта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долевого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страхования жизни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Указанный вид страхования включает одновременно предоставление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страховой защиты страхователю или лицу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пользу которого заключен такой договор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страхования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возможность инвестирования части уплаченной страховой премии в выбранные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страхователем инвестиционные паи для получения инвестиционного дохода в зависимости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 их стоимости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обеспечения сохранности вложенных средств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заработает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система гарантирования на рынке страхования жизни</w:t>
      </w:r>
      <w:r>
        <w:rPr>
          <w:rFonts w:ascii="Arial" w:cs="Arial" w:eastAsia="Arial" w:hAnsi="Arial"/>
          <w:sz w:val="11"/>
          <w:szCs w:val="11"/>
          <w:color w:val="auto"/>
        </w:rPr>
        <w:t>5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Расширение розничного спроса на рынке ценных бумаг требует поддержания баланса рисков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311" w:lineRule="auto"/>
        <w:tabs>
          <w:tab w:leader="none" w:pos="177" w:val="left"/>
        </w:tabs>
        <w:numPr>
          <w:ilvl w:val="0"/>
          <w:numId w:val="111"/>
        </w:numPr>
        <w:rPr>
          <w:rFonts w:ascii="Arial" w:cs="Arial" w:eastAsia="Arial" w:hAnsi="Arial"/>
          <w:sz w:val="19"/>
          <w:szCs w:val="19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доходности инвестиций граждан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Принимая во внимание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что на фондовом рынке преобладающая часть инвесторов предпочитает самостоятельное инвестирование при посредничестве брокеров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особое внимание будет уделяться вопросам развития и повышения инвестиционной привлекательности пассивного инвестирования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которое наиболее предпочтительно для начинающих инвесторов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 таким инструментам в том числе относятся инвестиционные паи ПИФ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которые предоставляют розничным инвесторам широкие возможности по диверсификации вложений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при этом управление активами осуществляется профессиональным управляющим в интересах инвесторов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Наряду с повышением финансовой и инвестиционной грамотности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развивать систему доверительного управления и информировать граждан о ее возможностях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снизит риски при инвестировании в инструменты рынка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предусмотрен индивидуальный подход доверительных управляющих к интересам каждого клиента</w:t>
      </w:r>
      <w:r>
        <w:rPr>
          <w:rFonts w:ascii="Arial" w:cs="Arial" w:eastAsia="Arial" w:hAnsi="Arial"/>
          <w:sz w:val="11"/>
          <w:szCs w:val="11"/>
          <w:color w:val="auto"/>
        </w:rPr>
        <w:t>6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января </w:t>
      </w:r>
      <w:r>
        <w:rPr>
          <w:rFonts w:ascii="Arial" w:cs="Arial" w:eastAsia="Arial" w:hAnsi="Arial"/>
          <w:sz w:val="20"/>
          <w:szCs w:val="20"/>
          <w:color w:val="auto"/>
        </w:rPr>
        <w:t>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они смогут предлагать только стратегии доверительного управления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отвечающие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персональным ожиданиям клиентов и их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аппетиту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дополнение к совершенствованию законодательства по регулированию закрытых ПИФ</w:t>
      </w:r>
      <w:r>
        <w:rPr>
          <w:rFonts w:ascii="Arial" w:cs="Arial" w:eastAsia="Arial" w:hAnsi="Arial"/>
          <w:sz w:val="11"/>
          <w:szCs w:val="11"/>
          <w:color w:val="auto"/>
        </w:rPr>
        <w:t>7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ЗПИФ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изменение срока действия договора доверительного управления ЗПИФ</w:t>
      </w:r>
      <w:r>
        <w:rPr>
          <w:rFonts w:ascii="Arial" w:cs="Arial" w:eastAsia="Arial" w:hAnsi="Arial"/>
          <w:sz w:val="20"/>
          <w:szCs w:val="20"/>
          <w:color w:val="auto"/>
        </w:rPr>
        <w:t xml:space="preserve">, </w:t>
      </w:r>
      <w:r>
        <w:rPr>
          <w:rFonts w:ascii="Arial" w:cs="Arial" w:eastAsia="Arial" w:hAnsi="Arial"/>
          <w:sz w:val="20"/>
          <w:szCs w:val="20"/>
          <w:color w:val="auto"/>
        </w:rPr>
        <w:t>введение возможности выпуска разных классов инвестиционных паев ЗПИФ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разработано соответствующее нормативное регулирование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Помимо этого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обеспечения эффективного управления имуществом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наследственного планирования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проработан вопрос о необходимости совершенствования правовых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используемых для данных целей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Будет продолжено развитие каналов продаж гражданам стандартных инструментов рынка ценных бумаг с невысоким уровнем рисков в целях долгосрочных вложений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купил</w:t>
      </w:r>
    </w:p>
    <w:p>
      <w:pPr>
        <w:ind w:left="6" w:right="140" w:hanging="6"/>
        <w:spacing w:after="0" w:line="295" w:lineRule="auto"/>
        <w:tabs>
          <w:tab w:leader="none" w:pos="186" w:val="left"/>
        </w:tabs>
        <w:numPr>
          <w:ilvl w:val="0"/>
          <w:numId w:val="11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держи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использованием финансовых платформ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Разновидностью таких инструментов могут быть субфедеральные облигации для населения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средства от размещения которых направляются на финансирование проектов социальной и экологической направленности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несет дополнительную ценность для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1259840" cy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" o:spid="_x0000_s10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0.8pt" to="99.2pt,10.8pt" o:allowincell="f" strokecolor="#000000" strokeweight="0.25pt"/>
            </w:pict>
          </mc:Fallback>
        </mc:AlternateConten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106" w:right="40" w:hanging="106"/>
        <w:spacing w:after="0" w:line="252" w:lineRule="auto"/>
        <w:tabs>
          <w:tab w:leader="none" w:pos="107" w:val="left"/>
        </w:tabs>
        <w:numPr>
          <w:ilvl w:val="0"/>
          <w:numId w:val="113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Возможность учета взносов по ПДС в составе расходов на оплату труда по налогу на прибыль, освобождение взносов работодателей от обложения страховыми взносами. Кроме того, рассматривается возможность распространения на суммы взносов работодателей в пользу работников налогового вычета по НДФЛ на долгосрочные сбережения граждан.</w:t>
      </w:r>
    </w:p>
    <w:p>
      <w:pPr>
        <w:spacing w:after="0" w:line="88" w:lineRule="exact"/>
        <w:rPr>
          <w:sz w:val="20"/>
          <w:szCs w:val="20"/>
          <w:color w:val="auto"/>
        </w:rPr>
      </w:pPr>
    </w:p>
    <w:p>
      <w:pPr>
        <w:ind w:left="106" w:hanging="106"/>
        <w:spacing w:after="0"/>
        <w:tabs>
          <w:tab w:leader="none" w:pos="106" w:val="left"/>
        </w:tabs>
        <w:numPr>
          <w:ilvl w:val="0"/>
          <w:numId w:val="114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см.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задачу 6 «Развитие рынка страхования»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текущего направления.</w:t>
      </w:r>
    </w:p>
    <w:p>
      <w:pPr>
        <w:spacing w:after="0" w:line="99" w:lineRule="exact"/>
        <w:rPr>
          <w:sz w:val="20"/>
          <w:szCs w:val="20"/>
          <w:color w:val="auto"/>
        </w:rPr>
      </w:pPr>
    </w:p>
    <w:p>
      <w:pPr>
        <w:ind w:left="106" w:right="1620" w:hanging="106"/>
        <w:spacing w:after="0" w:line="190" w:lineRule="exact"/>
        <w:tabs>
          <w:tab w:leader="none" w:pos="106" w:val="left"/>
        </w:tabs>
        <w:numPr>
          <w:ilvl w:val="0"/>
          <w:numId w:val="11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28.06.2024 № 6781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 «О внесении изменений в Положение Банка России от 3 августа 2015 года № 482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П».</w:t>
      </w:r>
    </w:p>
    <w:p>
      <w:pPr>
        <w:spacing w:after="0" w:line="97" w:lineRule="exact"/>
        <w:rPr>
          <w:sz w:val="20"/>
          <w:szCs w:val="20"/>
          <w:color w:val="auto"/>
        </w:rPr>
      </w:pPr>
    </w:p>
    <w:p>
      <w:pPr>
        <w:ind w:left="106" w:right="360" w:hanging="106"/>
        <w:spacing w:after="0" w:line="252" w:lineRule="auto"/>
        <w:tabs>
          <w:tab w:leader="none" w:pos="106" w:val="left"/>
        </w:tabs>
        <w:numPr>
          <w:ilvl w:val="0"/>
          <w:numId w:val="116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«О внесении изменений в Федеральный закон «Об инвестиционных фондах» и отдельные законодательные акты Российской Федерации (законопроект № 557693-8 принят Государственной Думой в третьем чтении 17.12.2024).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bookmarkStart w:id="31" w:name="page32"/>
    <w:bookmarkEnd w:id="3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28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важно обеспечить соблюдение требований в отношении предложения неквалифицированным инвесторам соответствующих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равные возможности по использованию населением льготы по налогообложению через механизм ИИС независимо от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приобретаются ценные бумаги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брокера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/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управляющую компанию или напрямую у эмитента через финансовую платформу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94" w:lineRule="auto"/>
        <w:tabs>
          <w:tab w:leader="none" w:pos="203" w:val="left"/>
        </w:tabs>
        <w:numPr>
          <w:ilvl w:val="0"/>
          <w:numId w:val="1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стимулирования долгосрочных сбережений в банках продолжится работа по развитию долгосрочных банковских вкладов и сберегательных сертификатов в рамках комплексной проработки вопроса привлечения длинных денег в банковский сектор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стал особенно актуальным ввиду необходимости финансирования приоритетных трансформационных проектов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обеспечения привлекательности этих инструментов устранен налоговый арбитраж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возникающий между краткосрочными и долгосрочными вкладами</w:t>
      </w:r>
      <w:r>
        <w:rPr>
          <w:rFonts w:ascii="Arial" w:cs="Arial" w:eastAsia="Arial" w:hAnsi="Arial"/>
          <w:sz w:val="11"/>
          <w:szCs w:val="11"/>
          <w:color w:val="auto"/>
        </w:rPr>
        <w:t>8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Дополнительно планируется рассмотреть возможность наделения долгосрочных банковских инструментов повышенной страховой защитой системы страхования вкладов</w:t>
      </w:r>
      <w:r>
        <w:rPr>
          <w:rFonts w:ascii="Arial" w:cs="Arial" w:eastAsia="Arial" w:hAnsi="Arial"/>
          <w:sz w:val="11"/>
          <w:szCs w:val="11"/>
          <w:color w:val="auto"/>
        </w:rPr>
        <w:t>9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40" w:hanging="6"/>
        <w:spacing w:after="0" w:line="309" w:lineRule="auto"/>
        <w:tabs>
          <w:tab w:leader="none" w:pos="203" w:val="left"/>
        </w:tabs>
        <w:numPr>
          <w:ilvl w:val="0"/>
          <w:numId w:val="1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защиты прав вкладчиков также будет проработана возможность страхования средств граждан на идентифицированных электронных кошельках в банках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Продолжится также реализация проекта по созданию в России системы жилищных сбережений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предоставит гражданам возможность накопления первоначального взноса на специальном счете жилищных сбережений с правом последующего заключения договора ипотечного кредита на специальных условиях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Система жилищных сбережений позволит расширить долгосрочную ресурсную базу кредитных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повысить эффективность управления ипотечным портфелем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 w:right="88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2.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Развитие рынка капитала и иных механизмов для долгосрочного финансирования экономического развития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Рынок капитала активно развивается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возрастает его роль как источника финансовых ресурсов для бизнеса наряду с банковским кредитованием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существует потенциал для дальнейшего повышения его роли как источника долгового и долевого финансирования для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900" w:hanging="6"/>
        <w:spacing w:after="0" w:line="292" w:lineRule="auto"/>
        <w:tabs>
          <w:tab w:leader="none" w:pos="203" w:val="left"/>
        </w:tabs>
        <w:numPr>
          <w:ilvl w:val="0"/>
          <w:numId w:val="11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ситуации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рынок капитала в основном ориентируется на внутренние ресурсы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создать условия и стимулы для направления инвестиций в первую очередь на финансирование проектов и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вносящих вклад в трансформацию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улучшение качества жизни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соответствующей информационной</w:t>
      </w:r>
    </w:p>
    <w:p>
      <w:pPr>
        <w:ind w:left="6" w:right="14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образовательной поддержке это может способствовать повышению интереса отечественного частного и институционального инвестора к рынку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для полноценного развития рынка капитала важно формирование как спроса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60" w:hanging="6"/>
        <w:spacing w:after="0" w:line="301" w:lineRule="auto"/>
        <w:tabs>
          <w:tab w:leader="none" w:pos="188" w:val="left"/>
        </w:tabs>
        <w:numPr>
          <w:ilvl w:val="0"/>
          <w:numId w:val="11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предложения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учитывая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важен не только интерес инвестора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предъявляет спрос на ценные бумаги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готовность компаний к привлечению средств на рынке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Хотя российский бизнес активнее использует возможности привлечения финансирования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рынке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объемы привлекаемого на рынке капитала финансирования несопоставимы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00" w:hanging="6"/>
        <w:spacing w:after="0" w:line="301" w:lineRule="auto"/>
        <w:tabs>
          <w:tab w:leader="none" w:pos="179" w:val="left"/>
        </w:tabs>
        <w:numPr>
          <w:ilvl w:val="0"/>
          <w:numId w:val="12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объемами кредитования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Несмотря на широкий выбор финансовых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отраслевое разнообразие эмитентов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объемы ценных бумаг в свободном обращении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доступные инвесторам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185420</wp:posOffset>
                </wp:positionV>
                <wp:extent cx="1259840" cy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" o:spid="_x0000_s10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4.6pt" to="99.2pt,14.6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jc w:val="both"/>
        <w:ind w:left="106" w:right="260" w:hanging="106"/>
        <w:spacing w:after="0" w:line="252" w:lineRule="auto"/>
        <w:tabs>
          <w:tab w:leader="none" w:pos="117" w:val="left"/>
        </w:tabs>
        <w:numPr>
          <w:ilvl w:val="0"/>
          <w:numId w:val="121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частности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обеспечена возможность уменьшения налоговой базы по доходам в виде процентов по вкладам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(</w:t>
      </w:r>
      <w:r>
        <w:rPr>
          <w:rFonts w:ascii="Arial" w:cs="Arial" w:eastAsia="Arial" w:hAnsi="Arial"/>
          <w:sz w:val="16"/>
          <w:szCs w:val="16"/>
          <w:color w:val="auto"/>
        </w:rPr>
        <w:t>счетам</w:t>
      </w:r>
      <w:r>
        <w:rPr>
          <w:rFonts w:ascii="Arial" w:cs="Arial" w:eastAsia="Arial" w:hAnsi="Arial"/>
          <w:sz w:val="16"/>
          <w:szCs w:val="16"/>
          <w:color w:val="auto"/>
        </w:rPr>
        <w:t>)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на сумму необлагаемого минимума в отношении каждого календарного года в рамках срока действия долгосрочного вклада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открытого на срок от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15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месяцев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при условии выплаты процентов в конце срока действия вклада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88" w:lineRule="exact"/>
        <w:rPr>
          <w:sz w:val="20"/>
          <w:szCs w:val="20"/>
          <w:color w:val="auto"/>
        </w:rPr>
      </w:pPr>
    </w:p>
    <w:p>
      <w:pPr>
        <w:ind w:left="106" w:hanging="106"/>
        <w:spacing w:after="0"/>
        <w:tabs>
          <w:tab w:leader="none" w:pos="106" w:val="left"/>
        </w:tabs>
        <w:numPr>
          <w:ilvl w:val="0"/>
          <w:numId w:val="12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см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задачу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4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Участие банков в финансировании экономического развития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текущего направления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32" w:name="page33"/>
    <w:bookmarkEnd w:id="3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российском рынке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так велики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для бизнеса важно разъяснять возможности рынка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создавать стимулы для их использования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необходимо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на рынок капитала выходили готовые к этому компании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выстроившие качественную систему корпоративного управления и раскрытия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понимающие ценность инвесторов и надлежащим образом исполняющие взятые на себя обязательства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92" w:lineRule="auto"/>
        <w:tabs>
          <w:tab w:leader="none" w:pos="203" w:val="left"/>
        </w:tabs>
        <w:numPr>
          <w:ilvl w:val="0"/>
          <w:numId w:val="1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связи с этим Банк России и Правительство Российской Федерации будут создавать условия для повышения доступности инструментов привлечения долгосрочного финансирования и удобства их использования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за счет применения цифровых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развитию долевого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сути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является наиболее долгосрочным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и Правительство Российской Федерации будут уделять особое внимание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20" w:hanging="6"/>
        <w:spacing w:after="0" w:line="293" w:lineRule="auto"/>
        <w:tabs>
          <w:tab w:leader="none" w:pos="203" w:val="left"/>
        </w:tabs>
        <w:numPr>
          <w:ilvl w:val="0"/>
          <w:numId w:val="1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того чтобы компании были заинтересованы в диверсификации источников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важно проработать вопрос выравнивания мер поддержки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применяемых для кредитования и долевого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Текущая система мер поддержки с приоритетом субсидирования процентных ставок по кредитам создает стимулы для бизнеса к использованию именно заемного финансирования в форме кредита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таким образом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сути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дискриминируя инструменты рынка капитала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акции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облигации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подробнее см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>врезку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завершение описания данной задачи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9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Необходимо внедрять инструменты поддержки и повышения инвестиционного качества ценных бумаг для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задействованных в трансформации российской экономики</w:t>
      </w:r>
    </w:p>
    <w:p>
      <w:pPr>
        <w:jc w:val="both"/>
        <w:ind w:left="6" w:right="600" w:hanging="6"/>
        <w:spacing w:after="0" w:line="290" w:lineRule="auto"/>
        <w:tabs>
          <w:tab w:leader="none" w:pos="188" w:val="left"/>
        </w:tabs>
        <w:numPr>
          <w:ilvl w:val="0"/>
          <w:numId w:val="1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осуществляющих деятельность в перспективных и приоритетных отраслях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сфере высокотехнологичного производства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импортозамещения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несырьевого экспорта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участвующих в создании необходимой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Такими инструментами в том числе могут стать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 предоставление гарантий со стороны государства и институтов развития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60"/>
        <w:spacing w:after="0" w:line="29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программы поддержки по выходу на рынок акций и облигаций для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осуществляющих деятельность в перспективных отраслях и проектах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первую очередь подпадающих под таксономию проектов технологического суверенитета и структурной адаптации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далее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Таксономия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10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налоговые льготы и субсидии для эмитентов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95" w:lineRule="auto"/>
        <w:tabs>
          <w:tab w:leader="none" w:pos="203" w:val="left"/>
        </w:tabs>
        <w:numPr>
          <w:ilvl w:val="0"/>
          <w:numId w:val="12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целесообразно проработать вопрос смещения мер поддержки с субсидирования кредитов на поддержку долевого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может не только повысить привлекательность размещения акций для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дать сигнал о значимости данного вида финансирования в числе других источников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30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Уже сейчас отдельные меры поддержки оказываются компаниям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–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субъектам МСП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размещающим акции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облигации на бирже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а также привлекающим финансирование через краудплатформы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Продление этих мер поддержки целесообразно в первую очередь в отношении тех компаний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которые способствуют технологическому суверенитету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реструктуризации экономики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7" w:lineRule="auto"/>
        <w:tabs>
          <w:tab w:leader="none" w:pos="180" w:val="left"/>
        </w:tabs>
        <w:numPr>
          <w:ilvl w:val="0"/>
          <w:numId w:val="12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импортозамещению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опыт поддержки выхода субъектов МСП на рынок капитала может также использоваться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адаптироваться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поддержки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которых может быть значимо для трансформации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 для быстрорастущих технологических компаний и компаний с выручкой 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млрд рублей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МСП</w:t>
      </w:r>
      <w:r>
        <w:rPr>
          <w:rFonts w:ascii="Arial" w:cs="Arial" w:eastAsia="Arial" w:hAnsi="Arial"/>
          <w:sz w:val="20"/>
          <w:szCs w:val="20"/>
          <w:color w:val="auto"/>
        </w:rPr>
        <w:t>+).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101600</wp:posOffset>
                </wp:positionV>
                <wp:extent cx="1259840" cy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pt" to="99.2pt,8pt" o:allowincell="f" strokecolor="#000000" strokeweight="0.25pt"/>
            </w:pict>
          </mc:Fallback>
        </mc:AlternateContent>
      </w: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106" w:right="200" w:hanging="106"/>
        <w:spacing w:after="0" w:line="250" w:lineRule="auto"/>
        <w:tabs>
          <w:tab w:leader="none" w:pos="148" w:val="left"/>
        </w:tabs>
        <w:numPr>
          <w:ilvl w:val="0"/>
          <w:numId w:val="12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Постановление Правительства Российской Федерации от 15.04.2023 № 603 «Об утверждении приоритетных направлений проектов технологического суверенитета и проектов структурной адаптации экономики Российской Федерации и Положения об условиях отнесения проектов к проектам технологического суверенитета и проектам структурной адаптации экономики Российской Федерации, о представлении сведений о проектах технологического суверенитета и проектах структурной адаптации экономики Российской Федерации и ведении реестра указанных проектов, а также о требованиях к организациям, уполномоченным представлять заключения о соответствии проектов требованиям к проектам технологического суверенитета и проектам структурной адаптации экономики Российской Федерации» (далее – Постановление Правительства Российской Федерации от 15.04.2023 № 603).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7" w:gutter="0" w:footer="0" w:header="0"/>
        </w:sectPr>
      </w:pPr>
    </w:p>
    <w:bookmarkStart w:id="33" w:name="page34"/>
    <w:bookmarkEnd w:id="3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30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сохранения устойчивой тенденции к выходу новых компаний на публичный рынок акций необходимо уделить внимание вопросам развития инструментов привлечения финансирования компаний на стадии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pre-IPO,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использованием институтов внебиржевого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небанковского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фондов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pre-IPO,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инвестиционных платформ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для сбалансированного развития экономики важно обеспечить сквозной характер мер поддержки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преемственность на разных стадиях жизненного цикла компаний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Применение различного рода мер поддержки в том числе может рассматриваться для инструментов венчурного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фондов р</w:t>
      </w:r>
      <w:r>
        <w:rPr>
          <w:rFonts w:ascii="Arial" w:cs="Arial" w:eastAsia="Arial" w:hAnsi="Arial"/>
          <w:sz w:val="20"/>
          <w:szCs w:val="20"/>
          <w:color w:val="auto"/>
        </w:rPr>
        <w:t>re-IPO,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размещения ценных бумаг на инвестиционных платформах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для ЦФА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выпускаемых в информационных системах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66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Важную роль в увеличении объема инвестиций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привлекаемых в том числе компаниями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способствующими обеспечению технологического суверенитета и структурной адаптации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могут также сыграть конвертируемые облигации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повышения гибкости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00" w:hanging="6"/>
        <w:spacing w:after="0" w:line="309" w:lineRule="auto"/>
        <w:tabs>
          <w:tab w:leader="none" w:pos="188" w:val="left"/>
        </w:tabs>
        <w:numPr>
          <w:ilvl w:val="0"/>
          <w:numId w:val="1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удобства их использования планируется совершенствование регулирования конвертируемых облигаций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jc w:val="both"/>
        <w:ind w:left="6" w:right="1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Немалую роль в развитии рынка капитала играет качество административных правил допуска на рынок финансовых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правил эмиссии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Банк России осуществит пересмотр одного из ключевых документов на этом направлении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стандартов эмиссии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сделать их соответствующими новым экономическим и правовым реалиям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7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формирования справедливой цены размещения и ограничения рисков волатильности на рынке немаловажными являются вопросы качества организации процесса размещения</w:t>
      </w:r>
    </w:p>
    <w:p>
      <w:pPr>
        <w:ind w:left="6" w:right="80" w:hanging="6"/>
        <w:spacing w:after="0" w:line="296" w:lineRule="auto"/>
        <w:tabs>
          <w:tab w:leader="none" w:pos="188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сбалансированного состава инвесторов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розничных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институциональных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текущих условиях может дополнительно повышаться роль якорных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участие которых может стимулировать спрос на ценные бумаги со стороны других категорий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Повышению спроса на ценные бумаги со стороны розничных инвесторов будет способствовать формирование и развитие существующей линейки инструментов для долгосрочных инвестиций</w:t>
      </w:r>
      <w:r>
        <w:rPr>
          <w:rFonts w:ascii="Arial" w:cs="Arial" w:eastAsia="Arial" w:hAnsi="Arial"/>
          <w:sz w:val="11"/>
          <w:szCs w:val="11"/>
          <w:color w:val="auto"/>
        </w:rPr>
        <w:t>11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запуск долевого страхования жизни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ИИС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ПДС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Интересу инвесторов к ценным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бумагам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особенно на начальном этапе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могут способствовать дополнительные налоговые стимулы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95" w:lineRule="auto"/>
        <w:tabs>
          <w:tab w:leader="none" w:pos="212" w:val="left"/>
        </w:tabs>
        <w:numPr>
          <w:ilvl w:val="0"/>
          <w:numId w:val="1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целью увеличения объемов инвестиций институциональных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страховых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ПИФ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ПУРЦБ и НПФ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ценные бумаги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способствуют обеспечению технологического суверенитета и структурной адаптации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 основании Таксономии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внедрено стимулирующее регулирование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Смягчены требования по участию НПФ в первичных размещениях акций на организованных торгах</w:t>
      </w:r>
      <w:r>
        <w:rPr>
          <w:rFonts w:ascii="Arial" w:cs="Arial" w:eastAsia="Arial" w:hAnsi="Arial"/>
          <w:sz w:val="11"/>
          <w:szCs w:val="11"/>
          <w:color w:val="auto"/>
        </w:rPr>
        <w:t>12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дополнительно рассмотрит вопрос о расширении инвестиционных возможностей НПФ</w:t>
      </w:r>
      <w:r>
        <w:rPr>
          <w:rFonts w:ascii="Arial" w:cs="Arial" w:eastAsia="Arial" w:hAnsi="Arial"/>
          <w:sz w:val="11"/>
          <w:szCs w:val="11"/>
          <w:color w:val="auto"/>
        </w:rPr>
        <w:t>13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счет отмены части требований к составу и структуре их инвестиционных портфелей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кроме концентрационных лимитов и единого лимита на активы с дополнительным уровнем риска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может быть расширен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соответствующие инвестиционные риски НПФ будут ограничены требованиями к их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добросовестность принимаемых НПФ инвестиционных решений будет обеспечена требованиями к их фидуциарной ответственности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Требования к сохранности пенсионных средств и надежности таких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86360</wp:posOffset>
                </wp:positionV>
                <wp:extent cx="1259840" cy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6.8pt" to="99.2pt,6.8pt" o:allowincell="f" strokecolor="#000000" strokeweight="0.25pt"/>
            </w:pict>
          </mc:Fallback>
        </mc:AlternateContent>
      </w:r>
    </w:p>
    <w:p>
      <w:pPr>
        <w:spacing w:after="0" w:line="253" w:lineRule="exact"/>
        <w:rPr>
          <w:sz w:val="20"/>
          <w:szCs w:val="20"/>
          <w:color w:val="auto"/>
        </w:rPr>
      </w:pPr>
    </w:p>
    <w:p>
      <w:pPr>
        <w:ind w:left="166" w:right="540" w:hanging="211"/>
        <w:spacing w:after="0" w:line="254" w:lineRule="auto"/>
        <w:tabs>
          <w:tab w:leader="none" w:pos="14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1 1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Подробнее см.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задачу 1 «Развитие инструментов долгосрочных сбережений и инвестиций для граждан»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текущего направления.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ind w:left="126" w:hanging="126"/>
        <w:spacing w:after="0" w:line="184" w:lineRule="exact"/>
        <w:tabs>
          <w:tab w:leader="none" w:pos="126" w:val="left"/>
        </w:tabs>
        <w:numPr>
          <w:ilvl w:val="0"/>
          <w:numId w:val="131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Указания Банка России от 22.05.2024 № 6732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 «О внесении изменений в Положение Банка России от 1 марта 2017 года</w:t>
      </w:r>
    </w:p>
    <w:p>
      <w:pPr>
        <w:spacing w:after="0" w:line="8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06" w:right="180" w:firstLine="4"/>
        <w:spacing w:after="0" w:line="190" w:lineRule="exact"/>
        <w:tabs>
          <w:tab w:leader="none" w:pos="340" w:val="left"/>
        </w:tabs>
        <w:numPr>
          <w:ilvl w:val="1"/>
          <w:numId w:val="131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580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П» (в части пенсионных накоплений НПФ) и от 18.06.2024 № 6759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 «О внесении изменений в Указание Банка России от 5 декабря 2019 года № 5343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У» (в части пенсионных резервов НПФ).</w:t>
      </w:r>
    </w:p>
    <w:p>
      <w:pPr>
        <w:spacing w:after="0" w:line="96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146" w:right="340" w:hanging="146"/>
        <w:spacing w:after="0" w:line="254" w:lineRule="auto"/>
        <w:tabs>
          <w:tab w:leader="none" w:pos="144" w:val="left"/>
        </w:tabs>
        <w:numPr>
          <w:ilvl w:val="0"/>
          <w:numId w:val="131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см.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задачу 7 «Обеспечение устойчивости и развитие регулирования финансовых организаций»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текущего направления.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bookmarkStart w:id="34" w:name="page35"/>
    <w:bookmarkEnd w:id="3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инвестиций имеют решающее значение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Повышению заинтересованности НПФ участвовать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301" w:lineRule="auto"/>
        <w:tabs>
          <w:tab w:leader="none" w:pos="176" w:val="left"/>
        </w:tabs>
        <w:numPr>
          <w:ilvl w:val="0"/>
          <w:numId w:val="1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размещениях акций может в том числе способствовать создание для них дополнительных налоговых стимулов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зависимости от сроков владения приобретенными акциями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Правительством Российской Федерации также запланированы мероприятия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стимулирующие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спрос на инновации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со стороны государственных корпораций и компаний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государственным участием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проработано выделение ими средств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осуществление прямых и венчурных инвестиций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приобретение продукции российских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высокотехнологичных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создание системы покрытия рисков при внедрении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инновационных решений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венчурных компаний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Сохранение и укрепление доверия инвесторов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рынку капитала является одним из ключевых факторов привлечения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Доверию на рынке капитала будут способствовать повышение прозрачности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доступности достоверной информации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720" w:hanging="6"/>
        <w:spacing w:after="0" w:line="292" w:lineRule="auto"/>
        <w:tabs>
          <w:tab w:leader="none" w:pos="191" w:val="left"/>
        </w:tabs>
        <w:numPr>
          <w:ilvl w:val="0"/>
          <w:numId w:val="13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продуктах и услугах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эмитентах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выстраивание долгосрочных взаимоотношений с клиентами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защиты прав акционеров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инвесторов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качества корпоративного управления эмитентов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совершенствование дивидендных практик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добросовестное поведение и этичное ведение бизнеса посредниками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Участникам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6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первую очередь наименее защищенным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розничным инвесторам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должны быть понятны все процессы и процедуры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осуществляются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Сохраняет актуальность вопрос восстановления прав инвесторов по заблокированным активам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работа по которому будет продолжена с использованием созданных инструментов и механизмов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Особую актуальность в контексте обеспечения доверия на рынке капитала приобретает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защита прав миноритарных акционеров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которым относятся не только частные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но и институциональные инвесторы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повышение прозрачности для инвесторов условий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проведения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IP</w:t>
      </w:r>
      <w:r>
        <w:rPr>
          <w:rFonts w:ascii="Arial" w:cs="Arial" w:eastAsia="Arial" w:hAnsi="Arial"/>
          <w:sz w:val="20"/>
          <w:szCs w:val="20"/>
          <w:color w:val="auto"/>
        </w:rPr>
        <w:t>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информирование об условиях аллокации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периоде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течение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которого владельцы обязуются не продавать приобретенные ими акции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(lock-up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период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поддержания доверия принципиально важным является наличие качественной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достоверной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Поэтому важно раскрытие такой информации эмитентами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Целесообразно обеспечить инвесторов актуальной информацией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прогнозной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оценки перспектив развития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принятия обоснованных инвестиционных решений для целей долгосрочного инвестирования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особенности это значимо для инвестиций</w:t>
      </w:r>
    </w:p>
    <w:p>
      <w:pPr>
        <w:ind w:left="6" w:right="600" w:hanging="6"/>
        <w:spacing w:after="0" w:line="293" w:lineRule="auto"/>
        <w:tabs>
          <w:tab w:leader="none" w:pos="176" w:val="left"/>
        </w:tabs>
        <w:numPr>
          <w:ilvl w:val="0"/>
          <w:numId w:val="1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компании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впервые выходят на публичный рынок и привлекают денежные средства для развития и расширения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текущих условиях для обеспечения информационной эффективности рынка капитала оптимальным представляется раскрывать информацию об оценках справедливой стоимости эмитента и выпускаемых финансовых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при осуществлении самой оценки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прозрачно и детально описывать производимые расчеты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раскрывать модели и исходные предположения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дополнительно оценит целесообразность введения новых требований в этой сфере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Повышению информационной прозрачности также будет способствовать наличие доступных рыночных индикаторов и статистических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независимой оценки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рейтингов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Наличие качественной информации и независимой оценки способствует развитию внутреннего ценообразования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расширяет возможности российских участников рынка по выбору оптимальных параметров заключаемых сделок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380" w:hanging="6"/>
        <w:spacing w:after="0" w:line="295" w:lineRule="auto"/>
        <w:tabs>
          <w:tab w:leader="none" w:pos="212" w:val="left"/>
        </w:tabs>
        <w:numPr>
          <w:ilvl w:val="0"/>
          <w:numId w:val="1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учетом расширения практики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IPO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российском рынке капитала повышается актуальность развития инфраструктуры рынка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организаторов размещения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андеррайтеров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консультантов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которой отводится существенная роль по обеспечению качества процессов публичного размещения акций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рынке капитала должны сформироваться лучшие стандарты поведения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39" w:gutter="0" w:footer="0" w:header="0"/>
        </w:sectPr>
      </w:pPr>
    </w:p>
    <w:bookmarkStart w:id="35" w:name="page36"/>
    <w:bookmarkEnd w:id="3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0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95"/>
              </w:rPr>
              <w:t>32</w:t>
            </w: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его участников в целях стимулирования инвестиционного спроса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расширения практики использования публичных размещений как инструмента привлечения инвестиций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5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Будет продолжена работа по созданию условий для развития российских администраторов финансовых и товарных индикаторов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обеспечивающих формирование объективной</w:t>
      </w:r>
    </w:p>
    <w:p>
      <w:pPr>
        <w:ind w:left="6" w:hanging="6"/>
        <w:spacing w:after="0" w:line="294" w:lineRule="auto"/>
        <w:tabs>
          <w:tab w:leader="none" w:pos="188" w:val="left"/>
        </w:tabs>
        <w:numPr>
          <w:ilvl w:val="0"/>
          <w:numId w:val="1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достоверной рыночной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Намечены как расширение линейки индикаторов финансового и товарного рынков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принятие нормативного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которого будут установлены требования к деятельности администраторов индикаторов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к составлению и представлению отчетности администратора индикаторов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раскрытию информации и иные требования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определен перечень сведений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содержащихся в реестре администраторов индикаторов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ведение которого будет осуществляться Банком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Наличие достоверной и своевременной статистики по финансовому сектору и экономике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292" w:lineRule="auto"/>
        <w:tabs>
          <w:tab w:leader="none" w:pos="176" w:val="left"/>
        </w:tabs>
        <w:numPr>
          <w:ilvl w:val="0"/>
          <w:numId w:val="13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востребована как бизнесом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государством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способствует формированию единого информационного пространства для выработки оптимальных решений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Направления совершенствования статистики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формируемой Банком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публикуются</w:t>
      </w: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37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1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Программе развития статистической деятельности Банка России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Планируется и далее развивать национальную рейтинговую индустрию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уделяя особое внимание прозрачности рейтинговой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указанной целью создан публичный рейтинговый репозитарий</w:t>
      </w:r>
      <w:r>
        <w:rPr>
          <w:rFonts w:ascii="Arial" w:cs="Arial" w:eastAsia="Arial" w:hAnsi="Arial"/>
          <w:sz w:val="11"/>
          <w:szCs w:val="11"/>
          <w:color w:val="auto"/>
        </w:rPr>
        <w:t>14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разрабатываются дополнительные требования к раскрытию кредитным рейтинговым агентством кредитных рейтингов и прогнозов по ним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обеспечит пользователям кредитных рейтингов доступ к более полному обоснованию рейтингового 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раскрытие оценки собственной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самостоятельной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кредитоспособности рейтингуемого лица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Учитывая запрос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инвесторов и рейтингуемых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законодательном уровне предлагается предусмотреть возможность присвоения кредитным рейтинговым агентством кредитного рейтинга без распространения информации о нем неограниченному кругу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без предоставления информации о нем иным лицам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определенных договором об осуществлении рейтинговых действий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институт частных кредитных рейтингов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9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перспективы развития российской рейтинговой индустрии могут быть связаны как с заинтересованностью иностранных компаний в получении кредитных рейтингов по международным шкалам российских кредитных рейтинговых агентств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600" w:hanging="6"/>
        <w:spacing w:after="0" w:line="296" w:lineRule="auto"/>
        <w:tabs>
          <w:tab w:leader="none" w:pos="188" w:val="left"/>
        </w:tabs>
        <w:numPr>
          <w:ilvl w:val="0"/>
          <w:numId w:val="13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расширением использования кредитных рейтингов российских кредитных рейтинговых агентств в регулировании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или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деловой практике иностранных партнеров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прежде всего на пространстве ЕАЭС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также сконцентрирует усилия на вопросах развития товарных торговых 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будет способствовать развитию внутреннего ценообразования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системы национальных товарных индикаторов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созданию условий для совершенствования товарных 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предлагающих удобные сервисы по доступу на организованные торги и получению информации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 w:right="420" w:hanging="6"/>
        <w:spacing w:after="0" w:line="294" w:lineRule="auto"/>
        <w:tabs>
          <w:tab w:leader="none" w:pos="191" w:val="left"/>
        </w:tabs>
        <w:numPr>
          <w:ilvl w:val="0"/>
          <w:numId w:val="13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ценах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развития добросовестной конкуренции с биржами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вовлечения участников товарного рынка на организованные торги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развития производных финансовых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ПФИ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обеспечит повышение доступности и привлекательности организованного товарного рынка для субъектов МСП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расширение линейки товарных групп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обращение которых осуществляется на организованных торгах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332740</wp:posOffset>
                </wp:positionV>
                <wp:extent cx="1259840" cy="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" o:spid="_x0000_s10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6.2pt" to="99.2pt,26.2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146" w:right="160" w:hanging="146"/>
        <w:spacing w:after="0" w:line="252" w:lineRule="auto"/>
        <w:tabs>
          <w:tab w:leader="none" w:pos="151" w:val="left"/>
        </w:tabs>
        <w:numPr>
          <w:ilvl w:val="0"/>
          <w:numId w:val="14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Открытая база данных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разработанная Банком России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содержащая информацию о присвоенных кредитными рейтинговыми агентствами кредитных рейтингах и прогнозах по кредитным рейтингам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База данных доступна на сайте Банка России с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08.07.2024.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  <w:type w:val="continuous"/>
        </w:sectPr>
      </w:pPr>
    </w:p>
    <w:bookmarkStart w:id="36" w:name="page37"/>
    <w:bookmarkEnd w:id="3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условиях структурной трансформации российской экономики возрастает роль ПФИ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как эффективного инструмента управления рисками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хеджирования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этой связи продолжится реализация комплекса мер по развитию рынка ПФИ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выработка сбалансированных условий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которых у отдельных участников рынка будет возникать обязанность централизованного клиринга внебиржевых ПФИ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расширение спектра допустимых для ПФИ базисных активов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определение правил предоставления информации о ПФИ наименее опытным участникам рынка и иные меры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4" w:lineRule="auto"/>
        <w:tabs>
          <w:tab w:leader="none" w:pos="203" w:val="left"/>
        </w:tabs>
        <w:numPr>
          <w:ilvl w:val="0"/>
          <w:numId w:val="14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связи с постепенной переориентацией торговых потоков на дружественные страны требуется развитие рынка валютных ПФИ на валюты этих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чего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свою очередь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установление новых связей с финансовыми системами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с регуляторами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партнеров Азиатского региона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Ближнего Востока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Латинской Америки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создание работающей системы платежей и расчетов в валютах дружественных стран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Наряду с развитием традиционного рынка капитала в изменившихся условиях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усилиться роль партнерского финансирования как еще одного способа финансирования экономического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повышения благосостояния населения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развития этого направления финансовой деятельности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с горизонтом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запущен эксперимент на территориях отдельных субъектов Российской Федерации</w:t>
      </w:r>
      <w:r>
        <w:rPr>
          <w:rFonts w:ascii="Arial" w:cs="Arial" w:eastAsia="Arial" w:hAnsi="Arial"/>
          <w:sz w:val="11"/>
          <w:szCs w:val="11"/>
          <w:color w:val="auto"/>
        </w:rPr>
        <w:t>15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Эксперимент поможет оценить масштабы востребованности этих финансовых инструментов у участников рынка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4" w:lineRule="auto"/>
        <w:tabs>
          <w:tab w:leader="none" w:pos="188" w:val="left"/>
        </w:tabs>
        <w:numPr>
          <w:ilvl w:val="0"/>
          <w:numId w:val="14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увеличить доступность подобных услуг для российских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малого и среднего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проведение эксперимента направлено на установление контактов с финансовыми институтами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где такие финансовые инструменты и механизмы уже активно развиваются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Экспертный совет при Правительстве Российской Федерации оценит эффективность и результативность проведения эксперимента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необходимость внедрения специального регулирования в российское законодательство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менее важно развитие партнерских отношений бизнеса и государства для привлечения инвестиций в социально значимые проекты через использование концессионных соглашений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соглашений о государственно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муниципально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частном партнерстве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Более активному развитию проектного финансирования в среднесрочной перспективе будет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способствовать расширение возможностей участия в нем институтов развития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необходимо предусмотреть автоматические механизмы докапитализации институтов развития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в рамках поддержания их статуса организаций государственного сектора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как необходимого условия для сохранения особого регулирования по требованиям банков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293" w:lineRule="auto"/>
        <w:tabs>
          <w:tab w:leader="none" w:pos="173" w:val="left"/>
        </w:tabs>
        <w:numPr>
          <w:ilvl w:val="0"/>
          <w:numId w:val="14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ним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государству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учесть потребности в такой докапитализации при планировании расходов федерального бюджета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эффективным может стать создание транспарентного механизма так называемого утвержденного капитала</w:t>
      </w:r>
      <w:r>
        <w:rPr>
          <w:rFonts w:ascii="Arial" w:cs="Arial" w:eastAsia="Arial" w:hAnsi="Arial"/>
          <w:sz w:val="11"/>
          <w:szCs w:val="11"/>
          <w:color w:val="auto"/>
        </w:rPr>
        <w:t>16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институтов развития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Схожий механизм разработан в отношении ВЭБ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РФ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Данный опыт может быть использован при создании механизма для остальных институтов развития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Дополнительно институтам развития необходимо усилить среднесрочное прогнозирование консолидированных показателей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капитал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нормативы финансовой устойчивости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только в целях выявления потребности в докапитализации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иных мер государственной поддержки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для расширения деятельности в перспективе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Применение методов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тестирования также может способствовать более четкому пониманию потребности институтов развития в капитале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259840" cy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" o:spid="_x0000_s10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8.5pt" to="99.2pt,18.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144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Республика Башкортостан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Республика Татарстан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Чеченская Республика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Республика Дагестан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144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Утвержденный капитал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–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часть уставного капитала института развития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которая формируется за счет субсидий</w:t>
      </w:r>
    </w:p>
    <w:p>
      <w:pPr>
        <w:spacing w:after="0" w:line="8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140"/>
        <w:spacing w:after="0" w:line="256" w:lineRule="auto"/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из федерального бюджета и последующего внесения дополнительных имущественных взносов Российской Федерации при достижении институтом развития триггерных значений обязательных нормативов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(</w:t>
      </w:r>
      <w:r>
        <w:rPr>
          <w:rFonts w:ascii="Arial" w:cs="Arial" w:eastAsia="Arial" w:hAnsi="Arial"/>
          <w:sz w:val="16"/>
          <w:szCs w:val="16"/>
          <w:color w:val="auto"/>
        </w:rPr>
        <w:t>показателей</w:t>
      </w:r>
      <w:r>
        <w:rPr>
          <w:rFonts w:ascii="Arial" w:cs="Arial" w:eastAsia="Arial" w:hAnsi="Arial"/>
          <w:sz w:val="16"/>
          <w:szCs w:val="16"/>
          <w:color w:val="auto"/>
        </w:rPr>
        <w:t>)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финансовой устойчивости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708" w:gutter="0" w:footer="0" w:header="0"/>
        </w:sectPr>
      </w:pPr>
    </w:p>
    <w:bookmarkStart w:id="37" w:name="page38"/>
    <w:bookmarkEnd w:id="37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34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322580</wp:posOffset>
                </wp:positionV>
                <wp:extent cx="6119495" cy="8819515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8819515"/>
                        </a:xfrm>
                        <a:prstGeom prst="rect">
                          <a:avLst/>
                        </a:prstGeom>
                        <a:solidFill>
                          <a:srgbClr val="FEF5E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" o:spid="_x0000_s1049" style="position:absolute;margin-left:-0.2499pt;margin-top:25.4pt;width:481.85pt;height:694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FEF5E1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1" w:lineRule="exact"/>
        <w:rPr>
          <w:sz w:val="20"/>
          <w:szCs w:val="20"/>
          <w:color w:val="auto"/>
        </w:rPr>
      </w:pPr>
    </w:p>
    <w:p>
      <w:pPr>
        <w:ind w:left="320" w:right="1060"/>
        <w:spacing w:after="0" w:line="26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ВРЕЗКА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 ВЫРАВНИВАНИИ СТИМУЛОВ ДЛЯ ИНСТРУМЕНТОВ ФИНАНСИРОВАНИЯ БИЗНЕСА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БАНКОВСКИЙ КРЕДИТ И РЫНОК КАПИТАЛА</w:t>
      </w:r>
    </w:p>
    <w:p>
      <w:pPr>
        <w:spacing w:after="0" w:line="106" w:lineRule="exact"/>
        <w:rPr>
          <w:sz w:val="20"/>
          <w:szCs w:val="20"/>
          <w:color w:val="auto"/>
        </w:rPr>
      </w:pPr>
    </w:p>
    <w:p>
      <w:pPr>
        <w:ind w:left="320" w:right="68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О</w:t>
      </w:r>
      <w:r>
        <w:rPr>
          <w:rFonts w:ascii="Arial" w:cs="Arial" w:eastAsia="Arial" w:hAnsi="Arial"/>
          <w:sz w:val="17"/>
          <w:szCs w:val="17"/>
          <w:color w:val="auto"/>
        </w:rPr>
        <w:t>дним из значимых факторов</w:t>
      </w:r>
      <w:r>
        <w:rPr>
          <w:rFonts w:ascii="Arial" w:cs="Arial" w:eastAsia="Arial" w:hAnsi="Arial"/>
          <w:sz w:val="17"/>
          <w:szCs w:val="17"/>
          <w:color w:val="auto"/>
        </w:rPr>
        <w:t>,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влияющих на инвестиционную активность предприятий в любой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</w:t>
      </w:r>
      <w:r>
        <w:rPr>
          <w:rFonts w:ascii="Arial" w:cs="Arial" w:eastAsia="Arial" w:hAnsi="Arial"/>
          <w:sz w:val="17"/>
          <w:szCs w:val="17"/>
          <w:color w:val="auto"/>
        </w:rPr>
        <w:t>экономике</w:t>
      </w:r>
      <w:r>
        <w:rPr>
          <w:rFonts w:ascii="Arial" w:cs="Arial" w:eastAsia="Arial" w:hAnsi="Arial"/>
          <w:sz w:val="17"/>
          <w:szCs w:val="17"/>
          <w:color w:val="auto"/>
        </w:rPr>
        <w:t>,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является соотношение стоимости капитала и ожидаемой будущей отдачи на инвестиции</w:t>
      </w:r>
      <w:r>
        <w:rPr>
          <w:rFonts w:ascii="Arial" w:cs="Arial" w:eastAsia="Arial" w:hAnsi="Arial"/>
          <w:sz w:val="17"/>
          <w:szCs w:val="17"/>
          <w:color w:val="auto"/>
        </w:rPr>
        <w:t>,</w:t>
      </w:r>
    </w:p>
    <w:p>
      <w:pPr>
        <w:ind w:left="320" w:right="740" w:firstLine="4"/>
        <w:spacing w:after="0" w:line="280" w:lineRule="auto"/>
        <w:tabs>
          <w:tab w:leader="none" w:pos="465" w:val="left"/>
        </w:tabs>
        <w:numPr>
          <w:ilvl w:val="0"/>
          <w:numId w:val="145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также риски реализации проекта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 этом рыночная стоимость капитала определяется балансом между объемом сбережений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которые экономика формирует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 спросом на инвестиции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которые предъявляют компании и граждане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320" w:right="560"/>
        <w:spacing w:after="0" w:line="27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 прочих равных условиях объем сбережений в экономике зависит от уровня реальных процентных ставок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Когда при имеющемся уровне сбережений в экономике происходит рост инвестиционной активности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спрос на инвестиционные ресурсы увеличивается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 это приводит к повышению рыночных процентных ставок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то есть увеличению стоимости капитала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320" w:right="420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 этом возможна ситуация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когда отдельные отрасли экономики или проекты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которые являются первоочередными с точки зрения приоритетных национальных задач и долгосрочного развития экономики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оказываются не способны конкурировать за капитал по его рыночной стоимости вследствие тех или иных причин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Такими причинами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например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могут быть очень длинный горизонт отдачи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повышенный уровень рисков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Данные проекты также могут создавать дополнительные положительные эффекты для экономики и общества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которые не могут быть оценены с точки зрения чисто финансовой отдачи конкретного проекта 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таким образом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не могут быть непосредственно учтены при его оценке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Такие проекты в том числе могут быть связаны с необходимостью значительной структурной трансформации экономики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решения задач технологического суверенитета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320" w:right="460" w:firstLine="4"/>
        <w:spacing w:after="0" w:line="278" w:lineRule="auto"/>
        <w:tabs>
          <w:tab w:leader="none" w:pos="488" w:val="left"/>
        </w:tabs>
        <w:numPr>
          <w:ilvl w:val="0"/>
          <w:numId w:val="146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этих условиях для динамичного развития приоритетных отраслей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реализации значимых проектов и успешного решения стратегических задач государством могут применяться инструменты повышения инвестиционной привлекательности таких направлений деятельности для собственников компаний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Одним из инструментов решения этой задачи является предоставление бюджетной субсидии компании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которая повысит ожидаемый результат от реализации проекта для акционеров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Тогда при той же рыночной стоимости капитала и той же конфигурации рисков больше проектов может заинтересовать потенциальных инвесторов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320" w:right="520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Одним из механизмов такой поддержки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который в последние годы получил широкое распространение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стало льготное банковское кредитование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Отчасти это произошло вследствие его активного использования как антикризисной меры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2020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2022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годах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Основной формой льготного кредитования является выплата государством из бюджета субсидии банкам для компенсации той части процентного дохода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который они недополучают при выдаче кредитов по пониженной ставке категориям заемщиков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определенным государством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Но по экономической сути данный механизм представляет собой доплату из бюджета к финансовому результату заемщиков в виде суммы процентной субсидии за весь срок кредита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что является дополнительной выгодой для их акционеров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320" w:right="960"/>
        <w:spacing w:after="0" w:line="232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Важный вопрос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отвечает ли такой механизм стимулирования приоритетных инвестиций задачам диверсификации источников финансирования для бизнеса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повышению роли рынка капитала</w:t>
      </w:r>
      <w:r>
        <w:rPr>
          <w:rFonts w:ascii="Arial" w:cs="Arial" w:eastAsia="Arial" w:hAnsi="Arial"/>
          <w:sz w:val="18"/>
          <w:szCs w:val="18"/>
          <w:color w:val="auto"/>
        </w:rPr>
        <w:t>?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Или возможны иные подходы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которые дадут такой же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или в чем</w:t>
      </w:r>
      <w:r>
        <w:rPr>
          <w:rFonts w:ascii="MS PGothic" w:cs="MS PGothic" w:eastAsia="MS PGothic" w:hAnsi="MS PGothic"/>
          <w:sz w:val="18"/>
          <w:szCs w:val="18"/>
          <w:color w:val="auto"/>
        </w:rPr>
        <w:t>‑</w:t>
      </w:r>
      <w:r>
        <w:rPr>
          <w:rFonts w:ascii="Arial" w:cs="Arial" w:eastAsia="Arial" w:hAnsi="Arial"/>
          <w:sz w:val="18"/>
          <w:szCs w:val="18"/>
          <w:color w:val="auto"/>
        </w:rPr>
        <w:t>то даже более значимый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экономический результат при той же стоимости для бюджета</w:t>
      </w:r>
      <w:r>
        <w:rPr>
          <w:rFonts w:ascii="Arial" w:cs="Arial" w:eastAsia="Arial" w:hAnsi="Arial"/>
          <w:sz w:val="18"/>
          <w:szCs w:val="18"/>
          <w:color w:val="auto"/>
        </w:rPr>
        <w:t>?</w:t>
      </w:r>
    </w:p>
    <w:p>
      <w:pPr>
        <w:spacing w:after="0" w:line="192" w:lineRule="exact"/>
        <w:rPr>
          <w:sz w:val="20"/>
          <w:szCs w:val="20"/>
          <w:color w:val="auto"/>
        </w:rPr>
      </w:pPr>
    </w:p>
    <w:p>
      <w:pPr>
        <w:ind w:left="320" w:right="440"/>
        <w:spacing w:after="0" w:line="29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7"/>
          <w:szCs w:val="17"/>
          <w:color w:val="auto"/>
        </w:rPr>
        <w:t>Необходимо отметить</w:t>
      </w:r>
      <w:r>
        <w:rPr>
          <w:rFonts w:ascii="Arial" w:cs="Arial" w:eastAsia="Arial" w:hAnsi="Arial"/>
          <w:sz w:val="17"/>
          <w:szCs w:val="17"/>
          <w:color w:val="auto"/>
        </w:rPr>
        <w:t>,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что текущая практика</w:t>
      </w:r>
      <w:r>
        <w:rPr>
          <w:rFonts w:ascii="Arial" w:cs="Arial" w:eastAsia="Arial" w:hAnsi="Arial"/>
          <w:sz w:val="17"/>
          <w:szCs w:val="17"/>
          <w:color w:val="auto"/>
        </w:rPr>
        <w:t>,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основанная на субсидировании льготного банковского кредита</w:t>
      </w:r>
      <w:r>
        <w:rPr>
          <w:rFonts w:ascii="Arial" w:cs="Arial" w:eastAsia="Arial" w:hAnsi="Arial"/>
          <w:sz w:val="17"/>
          <w:szCs w:val="17"/>
          <w:color w:val="auto"/>
        </w:rPr>
        <w:t>,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по сути</w:t>
      </w:r>
      <w:r>
        <w:rPr>
          <w:rFonts w:ascii="Arial" w:cs="Arial" w:eastAsia="Arial" w:hAnsi="Arial"/>
          <w:sz w:val="17"/>
          <w:szCs w:val="17"/>
          <w:color w:val="auto"/>
        </w:rPr>
        <w:t>,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создает стимулы для компании при выборе источников финансирования подобных инвестиций к предпочтительному использованию банковского кредита по сравнению со всеми другими инструментами</w:t>
      </w:r>
      <w:r>
        <w:rPr>
          <w:rFonts w:ascii="Arial" w:cs="Arial" w:eastAsia="Arial" w:hAnsi="Arial"/>
          <w:sz w:val="17"/>
          <w:szCs w:val="17"/>
          <w:color w:val="auto"/>
        </w:rPr>
        <w:t>.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Это связано с тем</w:t>
      </w:r>
      <w:r>
        <w:rPr>
          <w:rFonts w:ascii="Arial" w:cs="Arial" w:eastAsia="Arial" w:hAnsi="Arial"/>
          <w:sz w:val="17"/>
          <w:szCs w:val="17"/>
          <w:color w:val="auto"/>
        </w:rPr>
        <w:t>,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что при использовании других источников привлечения средств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–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размещении облигаций</w:t>
      </w:r>
      <w:r>
        <w:rPr>
          <w:rFonts w:ascii="Arial" w:cs="Arial" w:eastAsia="Arial" w:hAnsi="Arial"/>
          <w:sz w:val="17"/>
          <w:szCs w:val="17"/>
          <w:color w:val="auto"/>
        </w:rPr>
        <w:t>,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привлечении акционерного капитала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–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инвестирующая компания</w:t>
      </w:r>
      <w:r>
        <w:rPr>
          <w:rFonts w:ascii="Arial" w:cs="Arial" w:eastAsia="Arial" w:hAnsi="Arial"/>
          <w:sz w:val="17"/>
          <w:szCs w:val="17"/>
          <w:color w:val="auto"/>
        </w:rPr>
        <w:t>,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ее акционеры</w:t>
      </w:r>
      <w:r>
        <w:rPr>
          <w:rFonts w:ascii="Arial" w:cs="Arial" w:eastAsia="Arial" w:hAnsi="Arial"/>
          <w:sz w:val="17"/>
          <w:szCs w:val="17"/>
          <w:color w:val="auto"/>
        </w:rPr>
        <w:t>,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инициаторы инвестиционного проекта не смогут рассчитывать на получение бюджетной субсидии</w:t>
      </w:r>
      <w:r>
        <w:rPr>
          <w:rFonts w:ascii="Arial" w:cs="Arial" w:eastAsia="Arial" w:hAnsi="Arial"/>
          <w:sz w:val="17"/>
          <w:szCs w:val="17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320" w:right="840"/>
        <w:spacing w:after="0" w:line="28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Таким образом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сложившаяся система субсидирования кредита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 сути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приводит к дискриминации инструментов рынка капитала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акций и облигаций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 сравнению с кредитованием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320" w:right="580" w:firstLine="4"/>
        <w:spacing w:after="0" w:line="282" w:lineRule="auto"/>
        <w:tabs>
          <w:tab w:leader="none" w:pos="540" w:val="left"/>
        </w:tabs>
        <w:numPr>
          <w:ilvl w:val="0"/>
          <w:numId w:val="147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Происходит дискриминация акционерного финансирования по сравнению с долговым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результате чего компании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 сути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мотивируются к повышенной долговой нагрузке в этих проектах и отраслях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0"/>
          </w:cols>
          <w:pgMar w:left="1140" w:top="660" w:right="1126" w:bottom="1138" w:gutter="0" w:footer="0" w:header="0"/>
        </w:sectPr>
      </w:pPr>
    </w:p>
    <w:bookmarkStart w:id="38" w:name="page39"/>
    <w:bookmarkEnd w:id="38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322580</wp:posOffset>
                </wp:positionV>
                <wp:extent cx="6119495" cy="5939790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5939790"/>
                        </a:xfrm>
                        <a:prstGeom prst="rect">
                          <a:avLst/>
                        </a:prstGeom>
                        <a:solidFill>
                          <a:srgbClr val="FEF5E1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" o:spid="_x0000_s1050" style="position:absolute;margin-left:-0.2499pt;margin-top:25.4pt;width:481.85pt;height:467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FEF5E1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ind w:left="320" w:right="440" w:firstLine="4"/>
        <w:spacing w:after="0" w:line="282" w:lineRule="auto"/>
        <w:tabs>
          <w:tab w:leader="none" w:pos="540" w:val="left"/>
        </w:tabs>
        <w:numPr>
          <w:ilvl w:val="0"/>
          <w:numId w:val="148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Внутри долгового финансирования происходит дискриминация облигационного рынка как источника финансирования по сравнению с банковским кредитом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320" w:right="640"/>
        <w:spacing w:after="0" w:line="28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Эти эффекты тормозят развитие рынка капитала и снижает конкуренцию между банковским сектором и рынком капитала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320" w:right="620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Дополнительно стоит отметить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что с макроэкономической точки зрения банковский кредит является монетарным механизмом финансирования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имеющим наиболее выраженные проинфляционные эффекты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Следствием роста субсидируемого кредита является дополнительный рост денежной массы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совокупного спроса 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соответственно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проинфляционное влияние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 этом финансирование через акции и облигации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если их покупателями не являются банки</w:t>
      </w:r>
      <w:r>
        <w:rPr>
          <w:rFonts w:ascii="Arial" w:cs="Arial" w:eastAsia="Arial" w:hAnsi="Arial"/>
          <w:sz w:val="18"/>
          <w:szCs w:val="18"/>
          <w:color w:val="auto"/>
        </w:rPr>
        <w:t>)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дополнительной денежной массы не создает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Такое финансирование бизнеса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отличие от нового банковского кредита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представляет собой использование уже сформированных сбережений граждан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напрямую или посредством институциональных инвесторов</w:t>
      </w:r>
      <w:r>
        <w:rPr>
          <w:rFonts w:ascii="Arial" w:cs="Arial" w:eastAsia="Arial" w:hAnsi="Arial"/>
          <w:sz w:val="18"/>
          <w:szCs w:val="18"/>
          <w:color w:val="auto"/>
        </w:rPr>
        <w:t>),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то есть направляет на инвестиции ресурсы общества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которые не использованы на другие цели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Проинфляционные эффекты в этом случае несравнимо меньше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320" w:right="460" w:firstLine="4"/>
        <w:spacing w:after="0" w:line="278" w:lineRule="auto"/>
        <w:tabs>
          <w:tab w:leader="none" w:pos="488" w:val="left"/>
        </w:tabs>
        <w:numPr>
          <w:ilvl w:val="0"/>
          <w:numId w:val="149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свете этого Банк России предлагает изменить программы поддержки приоритетных инвестиционных проектов и направлений таким образом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чтобы как минимум выровнять подходы к мерам поддержки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применяемым к банковскому кредитованию и инструментам рынка капитала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Одним из возможных вариантов может быть применение субсидирования долевого финансирования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то есть выплата субсидии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распределенной во времени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компаниям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выходящим на рынок капитала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как альтернативы субсидиям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которые выплачиваются по кредитам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Это позволит компаниям и инициаторам проектов принимать решение о структуре финансирования исключительно исходя из специфики экономики конкретного проекта и относительной рыночной стоимости этих источников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Для этого не потребуется увеличения государственных расходов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учитывая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что субсидия на долевое финансирование будет предоставляться вместо субсидии на кредит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Такую поддержку можно предусмотреть для компаний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реализующих приоритетные для развития экономики проекты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например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соответствии с таксономией проектов технологического суверенитета и структурной адаптации экономики</w:t>
      </w:r>
      <w:r>
        <w:rPr>
          <w:rFonts w:ascii="Arial" w:cs="Arial" w:eastAsia="Arial" w:hAnsi="Arial"/>
          <w:sz w:val="10"/>
          <w:szCs w:val="10"/>
          <w:color w:val="auto"/>
        </w:rPr>
        <w:t>1</w:t>
      </w:r>
      <w:r>
        <w:rPr>
          <w:rFonts w:ascii="Arial" w:cs="Arial" w:eastAsia="Arial" w:hAnsi="Arial"/>
          <w:sz w:val="18"/>
          <w:szCs w:val="18"/>
          <w:color w:val="auto"/>
        </w:rPr>
        <w:t>).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320" w:right="520"/>
        <w:spacing w:after="0" w:line="27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 этом в перспективе с учетом приоритета по развитию рынка капитала и долевого финансирования может быть рассмотрен вариант более привлекательных параметров для субсидирования финансирования бизнеса с использованием инструментов рынка капитала относительно стимулов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60" w:hanging="136"/>
        <w:spacing w:after="0"/>
        <w:tabs>
          <w:tab w:leader="none" w:pos="460" w:val="left"/>
        </w:tabs>
        <w:numPr>
          <w:ilvl w:val="1"/>
          <w:numId w:val="150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сфере банковского кредитования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338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240" w:right="200" w:hanging="76"/>
        <w:spacing w:after="0" w:line="251" w:lineRule="auto"/>
        <w:tabs>
          <w:tab w:leader="none" w:pos="240" w:val="left"/>
        </w:tabs>
        <w:numPr>
          <w:ilvl w:val="0"/>
          <w:numId w:val="150"/>
        </w:numPr>
        <w:rPr>
          <w:rFonts w:ascii="Arial" w:cs="Arial" w:eastAsia="Arial" w:hAnsi="Arial"/>
          <w:sz w:val="8"/>
          <w:szCs w:val="8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Постановление Правительства Российской Федерации от 15.04.2023 № 603 «Об утверждении приоритетных направлений проектов технологического суверенитета и проектов структурной адаптации экономики Российской Федерации и Положения об условиях отнесения проектов к проектам технологического суверенитета и проектам структурной адаптации экономики Российской Федерации, о представлении сведений о проектах технологического суверенитета и проектах структурной адаптации экономики Российской Федерации и ведении реестра указанных проектов, а также о требованиях к организациям, уполномоченным представлять заключения о соответствии проектов требованиям к проектам технологического суверенитета и проектам структурной адаптации экономики Российской Федерации».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103505</wp:posOffset>
                </wp:positionH>
                <wp:positionV relativeFrom="paragraph">
                  <wp:posOffset>-739775</wp:posOffset>
                </wp:positionV>
                <wp:extent cx="1260475" cy="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4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" o:spid="_x0000_s10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8.15pt,-58.2499pt" to="107.4pt,-58.2499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right="52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3.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Развитие корпоративных отношений и корпоративного управления</w:t>
      </w:r>
      <w:r>
        <w:rPr>
          <w:rFonts w:ascii="Arial" w:cs="Arial" w:eastAsia="Arial" w:hAnsi="Arial"/>
          <w:sz w:val="24"/>
          <w:szCs w:val="24"/>
          <w:color w:val="006391"/>
        </w:rPr>
        <w:t>,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раскрытие информации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right="3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Одной из важнейших целей в текущих экономических условиях остается повышение инвестиционной привлекательности компаний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внимания требуют обеспечение качества управления в компаниях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ответственность их менеджмента за принимаемые решения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прозрачность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справедливое отношение к акционерам и инвесторам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надежность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перспективность направлений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стремление к освоению новых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формирования доверительной среды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необходимой для эффективного функционирования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рынка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устойчивого развития организаций в долгосрочной перспективе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сохранения инвестиционной привлекательности и репутационной составляющей российской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юрисдикции важно ориентироваться на достигнутые за последние десятилетия в этом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направлении результаты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правовые механизмы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обеспечивающие защиту прав акционеров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базовые подходы к корпоративному управлению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показавшие свою эффективность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Поэтому</w:t>
      </w:r>
    </w:p>
    <w:p>
      <w:pPr>
        <w:sectPr>
          <w:pgSz w:w="11900" w:h="16838" w:orient="portrait"/>
          <w:cols w:equalWidth="0" w:num="1">
            <w:col w:w="9640"/>
          </w:cols>
          <w:pgMar w:left="1140" w:top="660" w:right="1126" w:bottom="526" w:gutter="0" w:footer="0" w:header="0"/>
        </w:sectPr>
      </w:pPr>
    </w:p>
    <w:bookmarkStart w:id="39" w:name="page40"/>
    <w:bookmarkEnd w:id="3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36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Правительство Российской Федерации совместно с Банком России продолжит работу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развитию корпоративных отношений и корпоративного управления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 обеспечению прав акционеров на должном уровне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640" w:hanging="6"/>
        <w:spacing w:after="0" w:line="292" w:lineRule="auto"/>
        <w:tabs>
          <w:tab w:leader="none" w:pos="210" w:val="left"/>
        </w:tabs>
        <w:numPr>
          <w:ilvl w:val="0"/>
          <w:numId w:val="15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учетом значимости своевременного раскрытия информации и качества корпоративного управления для финансового рынка с июля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11"/>
          <w:szCs w:val="11"/>
          <w:color w:val="auto"/>
        </w:rPr>
        <w:t>17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начался постепенный возврат к раскрытию информации эмитентами ценных бумаг</w:t>
      </w:r>
      <w:r>
        <w:rPr>
          <w:rFonts w:ascii="Arial" w:cs="Arial" w:eastAsia="Arial" w:hAnsi="Arial"/>
          <w:sz w:val="11"/>
          <w:szCs w:val="11"/>
          <w:color w:val="auto"/>
        </w:rPr>
        <w:t>18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установленные правила раскрытия информации не предусматривают возможности полного закрытия информации</w:t>
      </w:r>
      <w:r>
        <w:rPr>
          <w:rFonts w:ascii="Arial" w:cs="Arial" w:eastAsia="Arial" w:hAnsi="Arial"/>
          <w:sz w:val="11"/>
          <w:szCs w:val="11"/>
          <w:color w:val="auto"/>
        </w:rPr>
        <w:t>19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при этом направлены на нивелирование потенциальных санкционных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Такой подход позволяет поддерживать баланс интересов между акционерами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инвесторами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кредиторами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заинтересованными в получении доступа к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необходимой им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"/>
        <w:spacing w:after="0" w:line="29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принятия взвешенных стратегических и инвестиционных решений и реализации своих прав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эмитентами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нуждающимися в защитных механизмах от нарастающего санкционного давления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Дополнительно также планируется проработать изменения в законодательство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совершенствование системы противодействия неправомерному использованию инсайдерской информации и манипулированию рынком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усиление экономической ответственности за нарушение законодательства в указанной сфере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обеспечения развития российского финансового рынка и роста его капитализации целесообразно продолжить практику отмены функционирования специальных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антикризисных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режимов реализации корпоративных прав и вернуться к установленным законодательством о корпоративных отношениях процедурам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Повышению привлекательности инвестиций и укреплению доверия к компании способствует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предсказуемость дивидендных выплат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планируется определить требования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 содержанию дивидендной политики публичного общества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установить обязанность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ее утверждению и раскрытию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 объяснению акционерам причин отклонения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 утвержденной дивидендной политики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Указанные меры будут способствовать долгосрочному инвестиционному планированию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будет уделять внимание обеспечению публичными компаниями обоснованности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2" w:lineRule="auto"/>
        <w:tabs>
          <w:tab w:leader="none" w:pos="186" w:val="left"/>
        </w:tabs>
        <w:numPr>
          <w:ilvl w:val="0"/>
          <w:numId w:val="15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должного уровня информационной прозрачности корпоративных 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баланса интересов всех участников корпоративных отношений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миноритарных акционеров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планируется совершенствование регулирования порядка предоставления акционеру документов и информации об обществе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уточнение перечня такой информации</w:t>
      </w:r>
    </w:p>
    <w:p>
      <w:pPr>
        <w:ind w:left="6" w:right="220" w:hanging="6"/>
        <w:spacing w:after="0" w:line="295" w:lineRule="auto"/>
        <w:tabs>
          <w:tab w:leader="none" w:pos="186" w:val="left"/>
        </w:tabs>
        <w:numPr>
          <w:ilvl w:val="0"/>
          <w:numId w:val="15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оснований отказа в доступе к ней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Продолжится работа по внедрению в практику российских публичных компаний лучших стандартов корпоративного управления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отражены в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19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Кодексе корпоративного управления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далее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Кодекс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иных рекомендациях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Осознанное внедрение рекомендаций Кодекса должно повысить устойчивость деятельности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142240</wp:posOffset>
                </wp:positionV>
                <wp:extent cx="1259840" cy="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" o:spid="_x0000_s10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.2pt" to="99.2pt,11.2pt" o:allowincell="f" strokecolor="#000000" strokeweight="0.25pt"/>
            </w:pict>
          </mc:Fallback>
        </mc:AlternateConten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146" w:right="200" w:hanging="146"/>
        <w:spacing w:after="0" w:line="251" w:lineRule="auto"/>
        <w:tabs>
          <w:tab w:leader="none" w:pos="137" w:val="left"/>
        </w:tabs>
        <w:numPr>
          <w:ilvl w:val="0"/>
          <w:numId w:val="153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соответствии с Постановлением Правительства Российской Федерации от 12.03.2022 № 351 «Об особенностях раскрытия и предоставления информации, подлежащей раскрытию и предоставлению в соответствии с требованиями Федерального закона «Об акционерных обществах» и Федерального закона «О рынке ценных бумаг», и особенностях раскрытия инсайдерской информации в соответствии с требованиями Федерального закона «О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Федерации».</w:t>
      </w:r>
    </w:p>
    <w:p>
      <w:pPr>
        <w:spacing w:after="0" w:line="88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140" w:hanging="146"/>
        <w:spacing w:after="0" w:line="251" w:lineRule="auto"/>
        <w:tabs>
          <w:tab w:leader="none" w:pos="153" w:val="left"/>
        </w:tabs>
        <w:numPr>
          <w:ilvl w:val="0"/>
          <w:numId w:val="153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Эмитентам ценных бумаг представлялось право ограничить или полностью отказаться от раскрытия и предоставления информации, подлежащей раскрытию (в том числе в проспекте ценных бумаг) и (или) предоставлению в соответствии с требованиями Федерального закона от 26.12.1995 № 208-ФЗ «Об акционерных обществах» и Федерального закона от 22.04.1996 № 39-ФЗ «О рынке ценных бумаг».</w:t>
      </w:r>
    </w:p>
    <w:p>
      <w:pPr>
        <w:spacing w:after="0" w:line="8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520" w:hanging="146"/>
        <w:spacing w:after="0" w:line="252" w:lineRule="auto"/>
        <w:tabs>
          <w:tab w:leader="none" w:pos="142" w:val="left"/>
        </w:tabs>
        <w:numPr>
          <w:ilvl w:val="0"/>
          <w:numId w:val="153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Постановление Правительства Российской Федерации от 04.07.2023 № 1102 «Об особенностях раскрытия и (или) предоставления информации, подлежащей раскрытию и (или) предоставлению в соответствии с требованиями Федерального закона «Об акционерных обществах» и Федерального закона «О рынке ценных бумаг».</w:t>
      </w:r>
    </w:p>
    <w:p>
      <w:pPr>
        <w:spacing w:after="0" w:line="87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40" w:hanging="146"/>
        <w:spacing w:after="0" w:line="254" w:lineRule="auto"/>
        <w:tabs>
          <w:tab w:leader="none" w:pos="176" w:val="left"/>
        </w:tabs>
        <w:numPr>
          <w:ilvl w:val="0"/>
          <w:numId w:val="153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Письмо Банка России от 10.04.2014 № 06-52/2463 «О Кодексе корпоративного управления» официально опубликовано 18 апреля 2014 года и рекомендовано к применению Банком России.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bookmarkStart w:id="40" w:name="page41"/>
    <w:bookmarkEnd w:id="4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помочь им своевременно адаптироваться к быстро меняющимся условиям ведения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бизнеса и использовать новые возможности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должно способствовать повышению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их привлекательности для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Дополнительно с учетом накопленного практического опыта Банк России проработает вопрос по актуализации Кодекса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по направлениям взаимодействия с акционерами и инвесторами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вопросы формирования органов управления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организации системы вознаграждения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управления рисками и раскрытия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части развития корпоративного управления в финансовых организациях Банк России планирует определить и нормативно закрепить подходы к организации отдельных практик корпоративного управления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формирование совета директоров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гармонизировать требования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380" w:hanging="6"/>
        <w:spacing w:after="0" w:line="301" w:lineRule="auto"/>
        <w:tabs>
          <w:tab w:leader="none" w:pos="171" w:val="left"/>
        </w:tabs>
        <w:numPr>
          <w:ilvl w:val="0"/>
          <w:numId w:val="15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управлению рисками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осуществлению внутреннего контроля и внутреннего аудита в финансовых организациях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работу по совершенствованию корпоративного управления в кредитных организациях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Усилия будут в том числе направлены на создание стимулов для развития систем внутреннего контроля и выявление недобросовестного и незаконного поведения в кредитных организациях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внедрение этических стандартов их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разработка стандарта по корпоративному управлению в кредитных организациях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развития рынка долгового финансирования Банк России планирует продолжить расширять возможности для эмитентов облигаций по быстрому и удобному оформлению сделок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совершенствовать механизмы защиты прав владельцев облигаций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изменить регулирование института представителя владельцев облигаций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6" w:lineRule="auto"/>
        <w:tabs>
          <w:tab w:leader="none" w:pos="201" w:val="left"/>
        </w:tabs>
        <w:numPr>
          <w:ilvl w:val="0"/>
          <w:numId w:val="15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сокращения временных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финансовых и трудовых затрат на проведение реструктуризации планируется усовершенствовать правила реорганизации юридических лиц путем устранения законодательных барьеров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усложняющих ее проведение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Будут унифицированы и усовершенствованы требования к квалификации и деловой репутации специалистов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включая руководителей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должностных лиц и собственников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повышения качества управления и работы в финансовых организациях на всех уровнях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Способствовать улучшению качества информации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повышению доверия пользователей к финансовой отчетности будет развитие института аудита отчетности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 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начала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оказывать сопутствующие аудиту услуги общественно значимым организациям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проводить аудит их отчетности начиная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180" w:hanging="6"/>
        <w:spacing w:after="0" w:line="296" w:lineRule="auto"/>
        <w:tabs>
          <w:tab w:leader="none" w:pos="177" w:val="left"/>
        </w:tabs>
        <w:numPr>
          <w:ilvl w:val="0"/>
          <w:numId w:val="15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отчетности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 смогут только аудиторские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сведения о которых внесены в реестр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Деятельность Банка России по этому направлению будет сосредоточена на осуществлении надзора за деятельностью аудиторских организаций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участвовать в работе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направленной на создание единого рынка аудиторских услуг в рамках ЕАЭС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 работе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связанной с признанием аудиторских заключений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выпущенных российскими аудиторскими компаниями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дружественных странах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4.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Участие банков в финансировании экономического развития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среднесрочном горизонте банковский сектор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наиболее крупный сегмент российского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продолжит играть ключевую роль в финансировании трансформации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Важно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у банков были достаточные ресурсы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капитал и источники долгосрочного фондирования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финансирования экономического развития и при этом риски были бы ограниченными и хорошо управляемыми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981" w:gutter="0" w:footer="0" w:header="0"/>
        </w:sectPr>
      </w:pPr>
    </w:p>
    <w:bookmarkStart w:id="41" w:name="page42"/>
    <w:bookmarkEnd w:id="4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38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5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Банк России внедрил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чувствительное стимулирующее регулирование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поддержки кредитования проектов технологического суверенитета и структурной адаптации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экономики в рамках Таксономии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Теперь банки с универсальной лицензией могут кредитовать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проекты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соответствующие Таксономии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меньшей нагрузкой на капитал</w:t>
      </w:r>
      <w:r>
        <w:rPr>
          <w:rFonts w:ascii="Arial" w:cs="Arial" w:eastAsia="Arial" w:hAnsi="Arial"/>
          <w:sz w:val="11"/>
          <w:szCs w:val="11"/>
          <w:color w:val="auto"/>
        </w:rPr>
        <w:t>21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делает такие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кредиты для них более привлекательными и расширяет возможности по финансированию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проектов ТС и САЭ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стимулы были расширены</w:t>
      </w:r>
      <w:r>
        <w:rPr>
          <w:rFonts w:ascii="Arial" w:cs="Arial" w:eastAsia="Arial" w:hAnsi="Arial"/>
          <w:sz w:val="11"/>
          <w:szCs w:val="11"/>
          <w:color w:val="auto"/>
        </w:rPr>
        <w:t>22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Теперь их можно применять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рефинансировании кредитов на проекты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соответствующие критериям ТС и САЭ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инвестор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может не участвовать собственными средствами в проектах высокого и максимального качества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реализуемых в рамках проектного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ранее требовалось участие не менее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20%).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Дополнительно были смягчены условия применения такого регулирования для отдельных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крупных проектов ТС и САЭ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реализуемых через механизм концессионных соглашений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учитывая их низкий риск и высокую важность для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полностью реализовать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потенциал стимулирующего регулирования возможно только при наличии достаточного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количества соответствующих Таксономии проектов с приемлемым для банков уровнем риска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Особого внимания также требуют вопросы повышения информированности банков и компаний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80" w:hanging="6"/>
        <w:spacing w:after="0" w:line="301" w:lineRule="auto"/>
        <w:tabs>
          <w:tab w:leader="none" w:pos="189" w:val="left"/>
        </w:tabs>
        <w:numPr>
          <w:ilvl w:val="0"/>
          <w:numId w:val="15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программе стимулирующего регулирования ТС и САЭ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позволит оперативно выявлять и корректно структурировать проекты в приоритетных отраслях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Расширению потенциала этой меры и повышению эффективности механизмов финансирования проектов ТС и САЭ может способствовать комплексный подход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котором стимулирующее банковское регулирование будет применяться совместно с мерами государственной поддержки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Такой подход будет способствовать достижению синергетического эффекта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котором одновременно будут применяться регуляторные стимулы и меры финансовой поддержки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 итоге позволит реализовать больше приоритетных проектов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осуществлять мониторинг применения стимулирующего банковского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что позволит оценить эффективность разработанного регулирования и донастроить его в случае необходимости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планирует распространить действие стимулирующего регулирования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вложения кредитных организаций в облигации ТС и САЭ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сейчас только кредиты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на финансирование наиболее важных проектов устойчивого развития</w:t>
      </w:r>
      <w:r>
        <w:rPr>
          <w:rFonts w:ascii="Arial" w:cs="Arial" w:eastAsia="Arial" w:hAnsi="Arial"/>
          <w:sz w:val="11"/>
          <w:szCs w:val="11"/>
          <w:color w:val="auto"/>
        </w:rPr>
        <w:t>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форме как кредитов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облигаций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также льготное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сравнении с корпоративными облигациями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включение облигаций по проектам ТС и САЭ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облигаций устойчивого развития в состав высоколиквидных активов при расчете нового национального норматива краткосрочной ликвидности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ННКЛ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свою очередь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способствовать повышению их ликвидности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Дополнительно будет проработан вопрос о выделении облигаций по проектам ТС и САЭ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7" w:lineRule="auto"/>
        <w:tabs>
          <w:tab w:leader="none" w:pos="161" w:val="left"/>
        </w:tabs>
        <w:numPr>
          <w:ilvl w:val="0"/>
          <w:numId w:val="15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отдельный класс облигаций по аналогии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зелеными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социальными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проработать вопрос включения ЦФА в перечень инструментов финансирования проектов ТС и САЭ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выделение их в отдельный класс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ЦФА ТС и САЭ и распространение на ЦФА ТС и САЭ банковского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чувствительного стимулирующего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1259840" cy="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" o:spid="_x0000_s10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85pt" to="99.2pt,8.85pt" o:allowincell="f" strokecolor="#000000" strokeweight="0.25pt"/>
            </w:pict>
          </mc:Fallback>
        </mc:AlternateContent>
      </w:r>
    </w:p>
    <w:p>
      <w:pPr>
        <w:spacing w:after="0" w:line="295" w:lineRule="exact"/>
        <w:rPr>
          <w:sz w:val="20"/>
          <w:szCs w:val="20"/>
          <w:color w:val="auto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16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Снижение нагрузки на капитал может составлять от 10 до 70% от стандартной величины кредитного риска</w:t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ind w:left="1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 ссуде в зависимости от категории проекта и кредитного качества ссуды, определяемого в том числе с помощью</w:t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ind w:left="1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национальных кредитных рейтингов. При этом риски банков ограничены, так как допустимое снижение нагрузки</w:t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ind w:left="1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для каждого банка лимитировано его среднегодовой прибылью и долей 5 – 10% от капитала (в зависимости</w:t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ind w:left="166" w:right="200"/>
        <w:spacing w:after="0" w:line="25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от соблюдения надбавок к нормативам достаточности капитала). С момента запуска программы в реестр проектов, для которых могут применяться стимулы, уже внесены проекты общей стоимостью около 1 трлн рублей, в том числе по таким направлениям, как строительство инфраструктуры, атомная промышленность и производство аккумуляторов для электромобилей.</w:t>
      </w:r>
    </w:p>
    <w:p>
      <w:pPr>
        <w:spacing w:after="0" w:line="90" w:lineRule="exact"/>
        <w:rPr>
          <w:sz w:val="20"/>
          <w:szCs w:val="20"/>
          <w:color w:val="auto"/>
        </w:rPr>
      </w:pPr>
    </w:p>
    <w:p>
      <w:pPr>
        <w:ind w:left="166" w:right="300" w:hanging="166"/>
        <w:spacing w:after="0" w:line="254" w:lineRule="auto"/>
        <w:tabs>
          <w:tab w:leader="none" w:pos="166" w:val="left"/>
        </w:tabs>
        <w:numPr>
          <w:ilvl w:val="0"/>
          <w:numId w:val="161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hyperlink r:id="rId20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Банк России расширяет стимулирующее регулирование для проектов технологического суверенитета и структурной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20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адаптации</w:t>
        </w:r>
        <w:r>
          <w:rPr>
            <w:rFonts w:ascii="Arial" w:cs="Arial" w:eastAsia="Arial" w:hAnsi="Arial"/>
            <w:sz w:val="16"/>
            <w:szCs w:val="16"/>
            <w:color w:val="006391"/>
          </w:rPr>
          <w:t>.</w:t>
        </w:r>
      </w:hyperlink>
    </w:p>
    <w:p>
      <w:pPr>
        <w:spacing w:after="0" w:line="86" w:lineRule="exact"/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</w:p>
    <w:p>
      <w:pPr>
        <w:ind w:left="146" w:right="420" w:hanging="146"/>
        <w:spacing w:after="0" w:line="252" w:lineRule="auto"/>
        <w:tabs>
          <w:tab w:leader="none" w:pos="166" w:val="left"/>
        </w:tabs>
        <w:numPr>
          <w:ilvl w:val="0"/>
          <w:numId w:val="161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Постановление Правительства Российской Федерации от 21.09.2021 № 1587 «Об утверждении критериев проектов устойчивого (в том числе «зеленого») развития в Российской Федерации и требований к системе верификации инструментов финансирования устойчивого развития в Российской Федерации».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bookmarkStart w:id="42" w:name="page43"/>
    <w:bookmarkEnd w:id="4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9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проработает вопрос возможности учета положений концессионных соглашений для целей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при расчете нормативов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формировании резервов кредитных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расширит потенциал для финансирования важных для экономики проектов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реализуемых в рамках концессий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бизнес развивает при прямой поддержке государства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 w:right="480" w:hanging="6"/>
        <w:spacing w:after="0" w:line="294" w:lineRule="auto"/>
        <w:tabs>
          <w:tab w:leader="none" w:pos="201" w:val="left"/>
        </w:tabs>
        <w:numPr>
          <w:ilvl w:val="0"/>
          <w:numId w:val="16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 же время финансирование крупных проектов и компаний не должно приводить к росту избыточных рисков концентрации в банковском секторе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ставить под угрозу финансовое положение крупнейших игроков и всю финансовую систему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Банк России подготовил предложения по снижению рисков кредитной концентрации без ущерба потенциалу кредитования</w:t>
      </w:r>
      <w:r>
        <w:rPr>
          <w:rFonts w:ascii="Arial" w:cs="Arial" w:eastAsia="Arial" w:hAnsi="Arial"/>
          <w:sz w:val="11"/>
          <w:szCs w:val="11"/>
          <w:color w:val="auto"/>
        </w:rPr>
        <w:t>24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Новации также будут способствовать более справедливому ценообразованию на рынке кредитов и облигаций для всех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будет содействовать развитию правовых и операционных механизмов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способствующих диверсификации кредитного риска внутри банковского сектора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между банками и другими участниками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механизмов управления рисками и выхода на целевые значения нормативов предлагается внедрение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оранжевой зоны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соблюдения нормативов концентрации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синдицированного кредитования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площадке недавно образованного Комитета по стандартам деятельности кредитных организаций</w:t>
      </w:r>
      <w:r>
        <w:rPr>
          <w:rFonts w:ascii="Arial" w:cs="Arial" w:eastAsia="Arial" w:hAnsi="Arial"/>
          <w:sz w:val="11"/>
          <w:szCs w:val="11"/>
          <w:color w:val="auto"/>
        </w:rPr>
        <w:t>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далее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Комитет по стандартам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оценить перспективы проработки стандарта синдицированного кредитования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потенциально позволит расширить круг инвесторов и может быть рассмотрено как основание для предоставления регуляторных стимулов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учет в ликвидности для целей расчета ННКЛ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5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Снижение концентрации кредитного риска и существенное расширение возможностей банковского сектора по кредитованию крупнейших проектов и компаний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соответственно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достижение целей по трансформации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быть достигнуто через покрытие части риска государством и институтами развития путем предоставления банкам гарантий и поручительств надлежащего качества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Возможности банков участвовать в кредитовании долгосрочных инвестиционных проектов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подчас ограничены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учитывая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значительная часть их пассивов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краткосрочная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или до востребования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создания условий для формирования в банковском секторе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долгосрочных источников фондирования ведется работа по совершенствованию системы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страхования вкладов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удлинения банковских пассивов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2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планируется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увеличить лимит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страхового возмещения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2,8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рублей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безотзывным сберегательным сертификатам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рублях 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лет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2,0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рублей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долгосрочным рублевым вкладам 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лет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80" w:hanging="6"/>
        <w:spacing w:after="0" w:line="292" w:lineRule="auto"/>
        <w:tabs>
          <w:tab w:leader="none" w:pos="186" w:val="left"/>
        </w:tabs>
        <w:numPr>
          <w:ilvl w:val="0"/>
          <w:numId w:val="16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безотзывным сберегательным сертификатам в рублях 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лет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рублей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каждому виду счета эскроу для покупки жилья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дифференцировать ставки отчислений</w:t>
      </w:r>
    </w:p>
    <w:p>
      <w:pPr>
        <w:ind w:left="6" w:right="18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Фонд обязательного страхования вкладов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ФОСВ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зависимости от вида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срочности и валюты вклада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сделает долгосрочные вклады более привлекательными для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позволит банкам повысить их доходность и будет способствовать притоку устойчивых долгосрочных пассивов для финансирования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Продолжится работа по развитию пропорционального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донастроить макропруденциальное регулирование для СЗКО и остальных 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совершенствовать методику определения СЗКО и установления дифференцированных надбавок за системную значимость к нормативам достаточности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Банки с базовой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62230</wp:posOffset>
                </wp:positionV>
                <wp:extent cx="1259840" cy="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" o:spid="_x0000_s10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4.9pt" to="99.2pt,4.9pt" o:allowincell="f" strokecolor="#000000" strokeweight="0.25pt"/>
            </w:pict>
          </mc:Fallback>
        </mc:AlternateConten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146" w:right="660" w:hanging="146"/>
        <w:spacing w:after="0" w:line="252" w:lineRule="auto"/>
        <w:tabs>
          <w:tab w:leader="none" w:pos="170" w:val="left"/>
        </w:tabs>
        <w:numPr>
          <w:ilvl w:val="0"/>
          <w:numId w:val="164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Доклад для общественных консультаций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22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Регулирование рисков кредитной концентрации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»</w:t>
        </w:r>
      </w:hyperlink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Подробнее см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блок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Банковское регулирование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задачи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7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Обеспечение устойчивости и развитие регулирования финансовых организаций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текущего направления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pacing w:after="0" w:line="87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64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hyperlink r:id="rId23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Создан Комитет по стандартам деятельности кредитных организаций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390" w:gutter="0" w:footer="0" w:header="0"/>
        </w:sectPr>
      </w:pPr>
    </w:p>
    <w:bookmarkStart w:id="43" w:name="page44"/>
    <w:bookmarkEnd w:id="4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4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40</w:t>
            </w: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лицензией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ББЛ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будут допущены к участию в программе стимулирующего регулирования проектов ТС и САЭ и проектов устойчивого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позволит таким банкам использовать установленные по таким проектам пониженные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веса и снижать нагрузку на капитал при кредитовании приоритетных проектов наравне с банками с универсальной лицензией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 взаимодействии с банковским сообществом планируется расширение возможностей ББЛ по инвестированию в ценные бумаги</w:t>
      </w:r>
      <w:r>
        <w:rPr>
          <w:rFonts w:ascii="Arial" w:cs="Arial" w:eastAsia="Arial" w:hAnsi="Arial"/>
          <w:sz w:val="11"/>
          <w:szCs w:val="11"/>
          <w:color w:val="auto"/>
        </w:rPr>
        <w:t>26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они смогут совершать сделки с ценными бумагами любой биржи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включенными в котировальные списки первого и второго уровня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отчуждать учитываемые на балансе ценные бумаги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которыми они не вправе работать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без ограничения по срокам отчуждения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Эти изменения будут положительно влиять на рост потенциала малых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 w:right="134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5.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Расширение вклада финансового рынка в достижение целей устойчивого развития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Вопросы национальной повестки устойчивого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продолжение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направленной на охрану окружающей среды и развитие социальной сферы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остаются актуальными в контексте происходящей структурной трансформации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Данные вопросы значимы и для выстраивания отношений с зарубежными партнерами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также придают особое значение вопросам экологии и климата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России важно не оказаться</w:t>
      </w:r>
    </w:p>
    <w:p>
      <w:pPr>
        <w:jc w:val="both"/>
        <w:ind w:left="6" w:right="1120" w:hanging="6"/>
        <w:spacing w:after="0" w:line="289" w:lineRule="auto"/>
        <w:tabs>
          <w:tab w:leader="none" w:pos="174" w:val="left"/>
        </w:tabs>
        <w:numPr>
          <w:ilvl w:val="0"/>
          <w:numId w:val="1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числе отстающих как в рамках климатической повестки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в отношении подходов к достижению целей устойчивого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не допустить рисков для экономики</w:t>
      </w:r>
    </w:p>
    <w:p>
      <w:pPr>
        <w:ind w:left="6" w:right="180"/>
        <w:spacing w:after="0" w:line="309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финансового сектора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работу по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тестированию климатических рисков для оценки их влияния на финансовый рынок и российскую экономику</w:t>
      </w:r>
      <w:r>
        <w:rPr>
          <w:rFonts w:ascii="Arial" w:cs="Arial" w:eastAsia="Arial" w:hAnsi="Arial"/>
          <w:sz w:val="11"/>
          <w:szCs w:val="11"/>
          <w:color w:val="auto"/>
        </w:rPr>
        <w:t>27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Национальное углеродное регулирование является основой для реализации Стратегии социально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экономического развития Российской Федерации с низким уровнем выбросов парниковых газов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2050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Россия обладает значительным потенциалом для реализации проектов по снижению и абсорбции парниковых газов за счет обширных территорий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295" w:lineRule="auto"/>
        <w:tabs>
          <w:tab w:leader="none" w:pos="186" w:val="left"/>
        </w:tabs>
        <w:numPr>
          <w:ilvl w:val="0"/>
          <w:numId w:val="16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уникальных экосистем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этих условиях будет продолжена работа по развитию национальной системы углеродного регулирования и системы биржевой торговли углеродными единицами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260"/>
        <w:spacing w:after="0" w:line="29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Продолжается также работа по привлечению клиринговой инфраструктуры для обеспечения расчетов по модели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поставка против платежа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исходя из возможного неттинга углеродного следа внутри страны на основе рыночной цены на углерод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формируемой на внутреннем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также обеспечить признание неттинга углеродного следа для экспортируемой продукции за рубежом через интеграцию систем торговли выбросами парниковых газов или взаимное признание углеродного регулирования рынками дружественных стран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Важно обеспечить интеграцию учета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ESG-</w:t>
      </w:r>
      <w:r>
        <w:rPr>
          <w:rFonts w:ascii="Arial" w:cs="Arial" w:eastAsia="Arial" w:hAnsi="Arial"/>
          <w:sz w:val="20"/>
          <w:szCs w:val="20"/>
          <w:color w:val="auto"/>
        </w:rPr>
        <w:t>факторов в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стратегии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корпоративное управление и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менеджмент финансовых и нефинансовых организаций с учетом текущей ситуации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национальных приоритетов российской экономики и опыта дружественных стран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Продолжится разработка подходов к раскрытию информации об устойчивом развитии как публичными акционерными обществами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 внедрению вопросов устойчивого развития и учета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ESG-</w:t>
      </w:r>
      <w:r>
        <w:rPr>
          <w:rFonts w:ascii="Arial" w:cs="Arial" w:eastAsia="Arial" w:hAnsi="Arial"/>
          <w:sz w:val="20"/>
          <w:szCs w:val="20"/>
          <w:color w:val="auto"/>
        </w:rPr>
        <w:t>факторов в корпоративное управление и деятельность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через соответствующие методологические документы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также заложить основы для отчетности в области устойчивого развития для всех эмитентов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обеспечит сопоставимость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139065</wp:posOffset>
                </wp:positionV>
                <wp:extent cx="1259840" cy="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" o:spid="_x0000_s10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0.95pt" to="99.2pt,10.95pt" o:allowincell="f" strokecolor="#000000" strokeweight="0.25pt"/>
            </w:pict>
          </mc:Fallback>
        </mc:AlternateContent>
      </w:r>
    </w:p>
    <w:p>
      <w:pPr>
        <w:spacing w:after="0" w:line="337" w:lineRule="exact"/>
        <w:rPr>
          <w:sz w:val="20"/>
          <w:szCs w:val="20"/>
          <w:color w:val="auto"/>
        </w:rPr>
      </w:pPr>
    </w:p>
    <w:p>
      <w:pPr>
        <w:ind w:left="166" w:right="100" w:hanging="166"/>
        <w:spacing w:after="0" w:line="254" w:lineRule="auto"/>
        <w:tabs>
          <w:tab w:leader="none" w:pos="167" w:val="left"/>
        </w:tabs>
        <w:numPr>
          <w:ilvl w:val="0"/>
          <w:numId w:val="16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случае предоставления ББЛ права работать с ценными бумагами из второго уровня им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в частности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станут доступны более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300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выпусков облигаций российских эмитентов на МосБирже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420" w:hanging="166"/>
        <w:spacing w:after="0" w:line="254" w:lineRule="auto"/>
        <w:tabs>
          <w:tab w:leader="none" w:pos="162" w:val="left"/>
        </w:tabs>
        <w:numPr>
          <w:ilvl w:val="0"/>
          <w:numId w:val="16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см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задачу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2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Развитие макропруденциального регулирования и анализа системных рисков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.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Повышение качества данных в системе кредитной информации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направления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3.5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Обеспечение финансовой стабильности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bookmarkStart w:id="44" w:name="page45"/>
    <w:bookmarkEnd w:id="4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jc w:val="both"/>
        <w:ind w:left="6" w:right="10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раскрываемых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возможность адекватной оценки инвесторами и контрагентами </w:t>
      </w:r>
      <w:r>
        <w:rPr>
          <w:rFonts w:ascii="Arial" w:cs="Arial" w:eastAsia="Arial" w:hAnsi="Arial"/>
          <w:sz w:val="20"/>
          <w:szCs w:val="20"/>
          <w:color w:val="auto"/>
        </w:rPr>
        <w:t>ESG-</w:t>
      </w:r>
      <w:r>
        <w:rPr>
          <w:rFonts w:ascii="Arial" w:cs="Arial" w:eastAsia="Arial" w:hAnsi="Arial"/>
          <w:sz w:val="20"/>
          <w:szCs w:val="20"/>
          <w:color w:val="auto"/>
        </w:rPr>
        <w:t>рисков и возможностей на микро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макроуровнях и выбора наилучших вариантов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инвестирования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совершенствовать инфраструктуру и инструменты устойчивого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развивать уже созданные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уточнять подходы к их верификации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рассмотрит возможные подходы к маркировке продуктов финансирования устойчивого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Планируется осуществлять мониторинг соблюдения участниками финансового рынка рекомендаций в области устойчивого развития</w:t>
      </w:r>
      <w:r>
        <w:rPr>
          <w:rFonts w:ascii="Arial" w:cs="Arial" w:eastAsia="Arial" w:hAnsi="Arial"/>
          <w:sz w:val="11"/>
          <w:szCs w:val="11"/>
          <w:color w:val="auto"/>
        </w:rPr>
        <w:t>28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по итогам мониторинга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принимать решение</w:t>
      </w:r>
    </w:p>
    <w:p>
      <w:pPr>
        <w:ind w:left="6" w:right="100" w:hanging="6"/>
        <w:spacing w:after="0" w:line="294" w:lineRule="auto"/>
        <w:tabs>
          <w:tab w:leader="none" w:pos="189" w:val="left"/>
        </w:tabs>
        <w:numPr>
          <w:ilvl w:val="0"/>
          <w:numId w:val="16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целесообразности включения ряда рекомендаций в регулирование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осуществляет такой мониторинг в том числе в отношении присвоения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ESG-</w:t>
      </w:r>
      <w:r>
        <w:rPr>
          <w:rFonts w:ascii="Arial" w:cs="Arial" w:eastAsia="Arial" w:hAnsi="Arial"/>
          <w:sz w:val="20"/>
          <w:szCs w:val="20"/>
          <w:color w:val="auto"/>
        </w:rPr>
        <w:t>рейтингов</w:t>
      </w:r>
      <w:r>
        <w:rPr>
          <w:rFonts w:ascii="Arial" w:cs="Arial" w:eastAsia="Arial" w:hAnsi="Arial"/>
          <w:sz w:val="11"/>
          <w:szCs w:val="11"/>
          <w:color w:val="auto"/>
        </w:rPr>
        <w:t>29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Указанные меры должны позволить инвесторам точнее оценивать размер премии за риск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мере выработки международных подходов и развития практики учета климатических рисков внутри страны будет рассмотрена целесообразность уточнения рекомендаций в области устойчивого развития и внедрения соответствующего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Будет также рассмотрен вопрос стимулирования рынка финансирования устойчивого развития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3" w:lineRule="auto"/>
        <w:tabs>
          <w:tab w:leader="none" w:pos="173" w:val="left"/>
        </w:tabs>
        <w:numPr>
          <w:ilvl w:val="0"/>
          <w:numId w:val="16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повышения заинтересованности его участников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проработает вопрос введения стимулирующего банковского регулирования для проектов устойчивого развития по аналогии с проектами ТС и САЭ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Развитию этого рынка также могут способствовать иные меры поддержки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налоговые льготы как для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выпускающих инструменты финансирования устойчивого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для инвесторов в такие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механизмы субсидий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6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государственных гарантий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реализует собственную корпоративную политику в области устойчивого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ее каскадирование на дочерние структуры регулятора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способствует более эффективному использованию ресурсов и обеспечивает вклад Банка России в достижение целей устойчивого развития и климатической повестки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Продолжится работа по сближению подходов к регулированию финансирования в области устойчивого развития с дружественными странами в части раскрытия информации об устойчивом развитии и определения особенностей климатического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6.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Развитие рынка страхования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90" w:lineRule="auto"/>
        <w:tabs>
          <w:tab w:leader="none" w:pos="201" w:val="left"/>
        </w:tabs>
        <w:numPr>
          <w:ilvl w:val="0"/>
          <w:numId w:val="17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условиях структурной трансформации экономики значительно возрастет роль рынка страхования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призван обеспечить защиту бизнеса и благосостояния людей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Одним из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способствует формированию внутренних источников долгосрочного финансирования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стать страхование жизни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увеличение его охвата напрямую связано с повышением уровня доверия граждан к этому инструменту инвестирования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40" w:hanging="6"/>
        <w:spacing w:after="0" w:line="309" w:lineRule="auto"/>
        <w:tabs>
          <w:tab w:leader="none" w:pos="201" w:val="left"/>
        </w:tabs>
        <w:numPr>
          <w:ilvl w:val="0"/>
          <w:numId w:val="17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этих целях на рынке страхования жизни</w:t>
      </w:r>
      <w:r>
        <w:rPr>
          <w:rFonts w:ascii="Arial" w:cs="Arial" w:eastAsia="Arial" w:hAnsi="Arial"/>
          <w:sz w:val="11"/>
          <w:szCs w:val="11"/>
          <w:color w:val="auto"/>
        </w:rPr>
        <w:t>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будет запущена система гарантирования по договорам страхования жизни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должна обеспечить сохранность долгосрочных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80645</wp:posOffset>
                </wp:positionV>
                <wp:extent cx="1259840" cy="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1" o:spid="_x0000_s10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6.35pt" to="99.2pt,6.35pt" o:allowincell="f" strokecolor="#000000" strokeweight="0.25pt"/>
            </w:pict>
          </mc:Fallback>
        </mc:AlternateContent>
      </w: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166" w:right="580" w:hanging="166"/>
        <w:spacing w:after="0" w:line="254" w:lineRule="auto"/>
        <w:tabs>
          <w:tab w:leader="none" w:pos="167" w:val="left"/>
        </w:tabs>
        <w:numPr>
          <w:ilvl w:val="0"/>
          <w:numId w:val="171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hyperlink r:id="rId24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Информационные письма и рекомендации по устойчивому развитию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, размещенные на сайте Банка России в сети Интернет.</w:t>
      </w:r>
    </w:p>
    <w:p>
      <w:pPr>
        <w:spacing w:after="0" w:line="86" w:lineRule="exact"/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</w:p>
    <w:p>
      <w:pPr>
        <w:ind w:left="166" w:right="100" w:hanging="166"/>
        <w:spacing w:after="0" w:line="251" w:lineRule="auto"/>
        <w:tabs>
          <w:tab w:leader="none" w:pos="168" w:val="left"/>
        </w:tabs>
        <w:numPr>
          <w:ilvl w:val="0"/>
          <w:numId w:val="171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рамках этой работы в 2023 году опубликован доклад для общественных консультаций «Модельная методология ESG-рейтингов», а в последующем и информационное письмо Банка России от 30.06.2023 № ИН-02-05/46 «О разработке методологий и присвоении ESG-рейтингов (рейтингов устойчивого развития)» в адрес участников финансового рынка, в котором Банком России предложены направления унификации подходов оценки факторов, входящих в ESG-рейтинг. В дальнейшем Банк России будет контролировать следование рекомендациям по присвоению ESG-рейтингов и при необходимости обновлять подходы с учетом опыта использования кредитными рейтинговыми агентствами.</w:t>
      </w:r>
    </w:p>
    <w:p>
      <w:pPr>
        <w:spacing w:after="0" w:line="88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20" w:hanging="166"/>
        <w:spacing w:after="0" w:line="252" w:lineRule="auto"/>
        <w:tabs>
          <w:tab w:leader="none" w:pos="169" w:val="left"/>
        </w:tabs>
        <w:numPr>
          <w:ilvl w:val="0"/>
          <w:numId w:val="171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отличие от банковского сектора, где все вклады и счета частных лиц застрахованы, на страховом рынке обязательства страховой компании перед клиентом в случае ее банкротства не гарантируются государством, что является одной из причин низкого доверия граждан к договорам страхования жизни в России.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bookmarkStart w:id="45" w:name="page46"/>
    <w:bookmarkEnd w:id="4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42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вложений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Система будет строиться на тех же принципах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и страхование депозитов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00" w:hanging="6"/>
        <w:spacing w:after="0" w:line="296" w:lineRule="auto"/>
        <w:tabs>
          <w:tab w:leader="none" w:pos="174" w:val="left"/>
        </w:tabs>
        <w:numPr>
          <w:ilvl w:val="0"/>
          <w:numId w:val="17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банках и гарантирование пенсионных средств НПФ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банкротства страховой организации ее обязательства перед клиентами в пределах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установленных законодательством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будут исполнены за счет гарантийного фонда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формируемого из взносов страховых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Рынок страхования постоянно развивается и предоставляет потребителям страховые продукты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максимально отвечающие их интересам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января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будет запущен новый для российского страхового рынка комплексный продукт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долевое страхование жизни</w:t>
      </w:r>
      <w:r>
        <w:rPr>
          <w:rFonts w:ascii="Arial" w:cs="Arial" w:eastAsia="Arial" w:hAnsi="Arial"/>
          <w:sz w:val="11"/>
          <w:szCs w:val="11"/>
          <w:color w:val="auto"/>
        </w:rPr>
        <w:t>31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предоставляющий потребителю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наряду с программой долгосрочного страхования жизни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гибкие инвестиционные возможности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Этот продукт предполагает защиту прав инвестора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301" w:lineRule="auto"/>
        <w:tabs>
          <w:tab w:leader="none" w:pos="173" w:val="left"/>
        </w:tabs>
        <w:numPr>
          <w:ilvl w:val="0"/>
          <w:numId w:val="17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возможность инвестирования части уплаченной страховой премии в выбранные страхователем инвестиционные паи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проводить мониторинг эффективности регулирования условий страхования по добровольным видам страхования с низкой клиентской ценностью</w:t>
      </w:r>
      <w:r>
        <w:rPr>
          <w:rFonts w:ascii="Arial" w:cs="Arial" w:eastAsia="Arial" w:hAnsi="Arial"/>
          <w:sz w:val="11"/>
          <w:szCs w:val="11"/>
          <w:color w:val="auto"/>
        </w:rPr>
        <w:t>32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требований по раскрытию информации о страховом продукте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введенных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2022 – 2023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</w:t>
      </w:r>
      <w:r>
        <w:rPr>
          <w:rFonts w:ascii="Arial" w:cs="Arial" w:eastAsia="Arial" w:hAnsi="Arial"/>
          <w:sz w:val="11"/>
          <w:szCs w:val="11"/>
          <w:color w:val="auto"/>
        </w:rPr>
        <w:t>33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Продолжится также совершенствование регулирования системы вмененных видов страхования для устранения проблем доступности страховых услуг в определенных сферах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долгосрочной перспективе это будет способствовать повышению доверия к рынку страхования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96" w:lineRule="auto"/>
        <w:tabs>
          <w:tab w:leader="none" w:pos="201" w:val="left"/>
        </w:tabs>
        <w:numPr>
          <w:ilvl w:val="0"/>
          <w:numId w:val="17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повышения клиентской ценности массовых страховых продуктов и прозрачности формирования их базовых характеристик для клиентов будут проработаны вопросы установления минимальных гарантированных условий страхования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обеспечивающих предоставление реальной страховой защиты по соответствующим договорам страхования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надлежащего раскрытия информации о страховом продукте в доступной по содержанию и объему форме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2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Продолжится работа по повышению информационной прозрачности и развитию обмена информацией на страховом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указанных целях создана нормативная и технологическая база для обеспечения функционирования централизованной системы сбора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анализа и хранения информации с прямым участием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АИС страхования</w:t>
      </w:r>
      <w:r>
        <w:rPr>
          <w:rFonts w:ascii="Arial" w:cs="Arial" w:eastAsia="Arial" w:hAnsi="Arial"/>
          <w:sz w:val="20"/>
          <w:szCs w:val="20"/>
          <w:color w:val="auto"/>
        </w:rPr>
        <w:t>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установлены требования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100" w:hanging="6"/>
        <w:spacing w:after="0" w:line="295" w:lineRule="auto"/>
        <w:tabs>
          <w:tab w:leader="none" w:pos="171" w:val="left"/>
        </w:tabs>
        <w:numPr>
          <w:ilvl w:val="0"/>
          <w:numId w:val="17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передаваемым в нее данным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защищенности системы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началась передача данных по обязательному и добровольному автострахованию и страхованию жилья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дальнейшем будет проводиться работа над выстраиванием и систематизацией механизмов контроля за полнотой и качеством данных в АИС страхования с использованием всех имеющихся механизмов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совместно с заинтересованными органами исполнительной власти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100" w:hanging="6"/>
        <w:spacing w:after="0" w:line="295" w:lineRule="auto"/>
        <w:tabs>
          <w:tab w:leader="none" w:pos="186" w:val="left"/>
        </w:tabs>
        <w:numPr>
          <w:ilvl w:val="0"/>
          <w:numId w:val="17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участниками страхового рынка проработает вопрос стандартизации форматов электронных документов для взаимодействия медицинских и страховых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позволит упростить</w:t>
      </w:r>
    </w:p>
    <w:p>
      <w:pPr>
        <w:ind w:left="6" w:right="660" w:hanging="6"/>
        <w:spacing w:after="0" w:line="301" w:lineRule="auto"/>
        <w:tabs>
          <w:tab w:leader="none" w:pos="186" w:val="left"/>
        </w:tabs>
        <w:numPr>
          <w:ilvl w:val="0"/>
          <w:numId w:val="17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ускорить документооборот между указанными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повысить качество оказываемых ими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jc w:val="both"/>
        <w:ind w:left="6" w:right="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внедрение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ориентированного подхода к регулированию страхового сектора в части модификации оценки страховых рисков и определения нормативных требований к достаточности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внедрение более точной модели оценки страховых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1259840" cy="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" o:spid="_x0000_s10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0.8pt" to="99.2pt,10.8pt" o:allowincell="f" strokecolor="#000000" strokeweight="0.25pt"/>
            </w:pict>
          </mc:Fallback>
        </mc:AlternateConten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17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Аналог распространенного на зарубежных страховых рынках продукта unit-linked.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540" w:hanging="166"/>
        <w:spacing w:after="0" w:line="254" w:lineRule="auto"/>
        <w:tabs>
          <w:tab w:leader="none" w:pos="160" w:val="left"/>
        </w:tabs>
        <w:numPr>
          <w:ilvl w:val="0"/>
          <w:numId w:val="17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Индикаторами низкой клиентской ценности являются, в частности, маловероятные события в составе страхуемых рисков и долгосрочно низкий уровень выплат.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360" w:hanging="166"/>
        <w:spacing w:after="0" w:line="191" w:lineRule="exact"/>
        <w:tabs>
          <w:tab w:leader="none" w:pos="166" w:val="left"/>
        </w:tabs>
        <w:numPr>
          <w:ilvl w:val="0"/>
          <w:numId w:val="17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Приняты нормативные акты Банка России, предусматривающие раскрытие информации о договорах добровольного страхования в форме ключевого информационного документа, а также устанавливающие минимальные (стандартные) требования к условиям осуществления отдельных видов добровольного страхования, направленные на повышение клиентской ценности (указания Банка России от 28.03.2022 № 6107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У; от 29.03.2022 № 6109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У; от 17.05.2022 № 6139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У; от 02.08.2023 № 6494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0" w:gutter="0" w:footer="0" w:header="0"/>
        </w:sectPr>
      </w:pPr>
    </w:p>
    <w:bookmarkStart w:id="46" w:name="page47"/>
    <w:bookmarkEnd w:id="4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рисков для как страхования жизни на основе разработанной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концепции</w:t>
      </w:r>
      <w:r>
        <w:rPr>
          <w:rFonts w:ascii="Arial" w:cs="Arial" w:eastAsia="Arial" w:hAnsi="Arial"/>
          <w:sz w:val="11"/>
          <w:szCs w:val="11"/>
          <w:color w:val="auto"/>
        </w:rPr>
        <w:t>34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jc w:val="both"/>
        <w:ind w:left="6" w:right="240" w:hanging="6"/>
        <w:spacing w:after="0" w:line="295" w:lineRule="auto"/>
        <w:tabs>
          <w:tab w:leader="none" w:pos="186" w:val="left"/>
        </w:tabs>
        <w:numPr>
          <w:ilvl w:val="0"/>
          <w:numId w:val="17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иных видов страхования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Она позволит более качественно определить величину требуемого капитала страховщиков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соответственно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 точно оценить их финансовую устойчивость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Будут расширены требования к системе корпоративного управления страховщиков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уточнены требования к системе управления рисками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4" w:lineRule="auto"/>
        <w:tabs>
          <w:tab w:leader="none" w:pos="201" w:val="left"/>
        </w:tabs>
        <w:numPr>
          <w:ilvl w:val="0"/>
          <w:numId w:val="17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построения единой страховой инфраструктуры с дружественными странами и создания условий для развития конкуренции на рынке перестрахования путем создания дополнительных перестраховочных емкостей продолжится работа по международному признанию качества российской страховой и перестраховочной защиты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налаживанию взаимодействия с компаниями из дружественных стран на рыночном уровне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7.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Обеспечение устойчивости и развитие регулирования финансовых организаций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Выполнение финансовым рынком своих функций по трансформации сбережений в инвестиции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94" w:lineRule="auto"/>
        <w:tabs>
          <w:tab w:leader="none" w:pos="173" w:val="left"/>
        </w:tabs>
        <w:numPr>
          <w:ilvl w:val="0"/>
          <w:numId w:val="18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усиление его роли в финансировании трансформации экономики возможно только при наличии на рынке финансово устойчивых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здоровых финансовых посредников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Поэтому Банк России и далее будет уделять значимое внимание сохранению устойчивости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планирует проводить дополнительную настройку регулирования с учетом новых реалий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Создавая условия для развития финансового рынка и обеспечивая финансовую стабильность на системном уровне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учитывает как общие для всех секторов финансового рынка тенденции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специфические для каждого из них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определяет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одной стороны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наличие особенностей в регулировании деятельности различных финансовых посредников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с другой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усиление общности регуляторных подходов и задач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 таких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пропорциональность регуляторной нагрузки и масштаба деятельности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введение систем гарантирования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снижение издержек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создание законодательных и правовых условий для дистанционных форматов обслуживания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проникновения цифровых продуктов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8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постепенное размывание границ между секторами финансового рынка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80" w:hanging="6"/>
        <w:spacing w:after="0" w:line="296" w:lineRule="auto"/>
        <w:tabs>
          <w:tab w:leader="none" w:pos="186" w:val="left"/>
        </w:tabs>
        <w:numPr>
          <w:ilvl w:val="0"/>
          <w:numId w:val="18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электронной коммерции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все более кросс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секторальный характер деятельности финансовых посредников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появление экосистем требуют дополнительной настройки регулирования как финансового рынка в 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отдельных видов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продуктов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Выход из регуляторных послаблений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Проведена значительная часть работ по выходу из регуляторных послаблений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введенных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поддержки финансового рынка и экономики во время острой фазы кризиса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части фиксации валютных курсов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стоимости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ухудшать оценку ссуд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Выход из регуляторных послаблений осуществляется постепенно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обеспечении соответствующего контроля рисков в финансовом секторе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ряду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послаблений выработан график выхода из них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временное снижение надбавок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капиталу с постепенным восстановлением до целевого уровня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(3,5%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СЗКО</w:t>
      </w:r>
      <w:r>
        <w:rPr>
          <w:rFonts w:ascii="Arial" w:cs="Arial" w:eastAsia="Arial" w:hAnsi="Arial"/>
          <w:sz w:val="20"/>
          <w:szCs w:val="20"/>
          <w:color w:val="auto"/>
        </w:rPr>
        <w:t>, 2,5%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301" w:lineRule="auto"/>
        <w:tabs>
          <w:tab w:leader="none" w:pos="177" w:val="left"/>
        </w:tabs>
        <w:numPr>
          <w:ilvl w:val="0"/>
          <w:numId w:val="18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универсальной лицензией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и возможность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растянуть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формирование резервов по заблокированным активам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668655</wp:posOffset>
                </wp:positionV>
                <wp:extent cx="1259840" cy="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3" o:spid="_x0000_s10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52.65pt" to="99.2pt,52.6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0" w:lineRule="exact"/>
        <w:rPr>
          <w:sz w:val="20"/>
          <w:szCs w:val="20"/>
          <w:color w:val="auto"/>
        </w:rPr>
      </w:pPr>
    </w:p>
    <w:p>
      <w:pPr>
        <w:ind w:left="166" w:hanging="166"/>
        <w:spacing w:after="0" w:line="184" w:lineRule="exact"/>
        <w:tabs>
          <w:tab w:leader="none" w:pos="166" w:val="left"/>
        </w:tabs>
        <w:numPr>
          <w:ilvl w:val="0"/>
          <w:numId w:val="183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hyperlink r:id="rId25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Концепция расчета страховых рисков по страхованию жизни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.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Изменения положения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781</w:t>
        </w:r>
        <w:r>
          <w:rPr>
            <w:rFonts w:ascii="MS PGothic" w:cs="MS PGothic" w:eastAsia="MS PGothic" w:hAnsi="MS PGothic"/>
            <w:sz w:val="16"/>
            <w:szCs w:val="16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П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bookmarkStart w:id="47" w:name="page48"/>
    <w:bookmarkEnd w:id="4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44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Банковское регулирование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9" w:lineRule="auto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работу по совершенствованию банковского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инициативам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отраженным в документе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2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«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Перспективные направления развития банковского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2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регулирования и надзора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: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текущий статус и новые задачи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»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Наряду с уже реализованными мерами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такими как настройка регулирования открытых валютных позиций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ОВП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35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внесение изменений в расчет рыночного риска</w:t>
      </w:r>
      <w:r>
        <w:rPr>
          <w:rFonts w:ascii="Arial" w:cs="Arial" w:eastAsia="Arial" w:hAnsi="Arial"/>
          <w:sz w:val="11"/>
          <w:szCs w:val="11"/>
          <w:color w:val="auto"/>
        </w:rPr>
        <w:t>36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уточнение порядка расчета СЗКО действующего норматива краткосрочной ликвидности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НКЛ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37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совершенствование подходов к оценке ключевых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 концентрации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ликвидности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кредитных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совершенствование подходов к ограничению концентрации кредитных рисков</w:t>
      </w:r>
      <w:r>
        <w:rPr>
          <w:rFonts w:ascii="Arial" w:cs="Arial" w:eastAsia="Arial" w:hAnsi="Arial"/>
          <w:sz w:val="11"/>
          <w:szCs w:val="11"/>
          <w:color w:val="auto"/>
        </w:rPr>
        <w:t>38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среди ключевых предложений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помимо выхода из послаблений по расчету нормативов концентрации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настройка нормативов Н</w:t>
      </w:r>
      <w:r>
        <w:rPr>
          <w:rFonts w:ascii="Arial" w:cs="Arial" w:eastAsia="Arial" w:hAnsi="Arial"/>
          <w:sz w:val="20"/>
          <w:szCs w:val="20"/>
          <w:color w:val="auto"/>
        </w:rPr>
        <w:t>6,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</w:t>
      </w:r>
      <w:r>
        <w:rPr>
          <w:rFonts w:ascii="Arial" w:cs="Arial" w:eastAsia="Arial" w:hAnsi="Arial"/>
          <w:sz w:val="20"/>
          <w:szCs w:val="20"/>
          <w:color w:val="auto"/>
        </w:rPr>
        <w:t>21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Н</w:t>
      </w:r>
      <w:r>
        <w:rPr>
          <w:rFonts w:ascii="Arial" w:cs="Arial" w:eastAsia="Arial" w:hAnsi="Arial"/>
          <w:sz w:val="20"/>
          <w:szCs w:val="20"/>
          <w:color w:val="auto"/>
        </w:rPr>
        <w:t>25,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разработка и поэтапное внедрение Н</w:t>
      </w:r>
      <w:r>
        <w:rPr>
          <w:rFonts w:ascii="Arial" w:cs="Arial" w:eastAsia="Arial" w:hAnsi="Arial"/>
          <w:sz w:val="20"/>
          <w:szCs w:val="20"/>
          <w:color w:val="auto"/>
        </w:rPr>
        <w:t>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СЗКО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часть действующих норм планируется смягчить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отдельных нормативов разрешить не объединять в группы связанных заемщиков операционно независимые высоконадежные компании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рассматривается возможность не рассчитывать концентрацию на консолидируемые лизинговые и факторинговые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дочки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Изменения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0" w:lineRule="auto"/>
        <w:tabs>
          <w:tab w:leader="none" w:pos="174" w:val="left"/>
        </w:tabs>
        <w:numPr>
          <w:ilvl w:val="0"/>
          <w:numId w:val="18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регулирование планируется вводить поэтапно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предоставить банкам механизмы управления риском концентрации и выхода на целевые значения нормативов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Реализация предложенных Банком России подходов позволит снизить риски кредитной концентрации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у банков сохранится необходимый потенциал кредитования крупнейших компаний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 проработка концепции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чувствительного лимита по иммобилизованным активам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20"/>
        <w:spacing w:after="0" w:line="29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постепенное внедрение ее в регулирование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Такие активы не создают требований по возврату денежных средств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могут иметь низкую ликвидность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являются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профильными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их концентрация на балансах может в дальнейшем негативно повлиять на финансовую устойчивость отдельных кредитных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планируется ограничить риски накопления иммобилизованных активов у банков и внедрить специальный лимит в процентах от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превышении которого избыточные вложения будут вычитаться из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есть фактически полностью покрываться за счет собственных средств банка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внедрение ННКЛ</w:t>
      </w:r>
      <w:r>
        <w:rPr>
          <w:rFonts w:ascii="Arial" w:cs="Arial" w:eastAsia="Arial" w:hAnsi="Arial"/>
          <w:sz w:val="11"/>
          <w:szCs w:val="11"/>
          <w:color w:val="auto"/>
        </w:rPr>
        <w:t>39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СЗКО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взамен базельского НКЛ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будет учитывать национальную специфику российского финансового сектора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важно для более точного регулирования риска ликвидности банков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6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0"/>
        <w:spacing w:after="0" w:line="29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исполнения требований законодательства об обязательном переходе СЗКО на подход на основе внутренних рейтингов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ПВР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позволит крупнейшим банкам применить модельный подход к оценке величины кредитного риска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Соответствующие изменения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00" w:hanging="6"/>
        <w:spacing w:after="0" w:line="290" w:lineRule="auto"/>
        <w:tabs>
          <w:tab w:leader="none" w:pos="174" w:val="left"/>
        </w:tabs>
        <w:numPr>
          <w:ilvl w:val="0"/>
          <w:numId w:val="18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нормативные акты Банка России будут способствовать обеспечению применения банками точных и надежных оценок кредитного риска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оптимизации затрат ресурсов Банка России и банков на проведение валидации методик и моделей ПВР банков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ind w:left="6" w:right="160"/>
        <w:spacing w:after="0" w:line="299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пересмотр системы оценки заемщиков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застройщиков посредством изменения состава оцениваемых критериев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исключения второстепенных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добавления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чувствительных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определения значимости критериев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распространения на все стадии жизненного цикла проекта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194310</wp:posOffset>
                </wp:positionV>
                <wp:extent cx="1259840" cy="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4" o:spid="_x0000_s10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5.3pt" to="99.2pt,15.3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166" w:hanging="166"/>
        <w:spacing w:after="0" w:line="184" w:lineRule="exact"/>
        <w:tabs>
          <w:tab w:leader="none" w:pos="166" w:val="left"/>
        </w:tabs>
        <w:numPr>
          <w:ilvl w:val="0"/>
          <w:numId w:val="18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Инструкция Банка России от 10.01.2024 № 213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И «Об открытых позициях кредитных организаций по валютному риску».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520" w:hanging="166"/>
        <w:spacing w:after="0" w:line="190" w:lineRule="exact"/>
        <w:tabs>
          <w:tab w:leader="none" w:pos="173" w:val="left"/>
        </w:tabs>
        <w:numPr>
          <w:ilvl w:val="0"/>
          <w:numId w:val="18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01.02.2024 № 6676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 «О внесении изменений в Положение Банка России от 3 декабря 2015 года № 511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П «О порядке расчета кредитными организациями величины рыночного риска».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hanging="146"/>
        <w:spacing w:after="0" w:line="184" w:lineRule="exact"/>
        <w:tabs>
          <w:tab w:leader="none" w:pos="146" w:val="left"/>
        </w:tabs>
        <w:numPr>
          <w:ilvl w:val="0"/>
          <w:numId w:val="18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10.01.2024 № 6667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 «О внесении изменений в Положение Банка России № 421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П».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85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Опубликован доклад для общественных консультаций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22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«Регулирование рисков кредитной концентрации»</w:t>
        </w:r>
      </w:hyperlink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166" w:right="260" w:hanging="166"/>
        <w:spacing w:after="0" w:line="254" w:lineRule="auto"/>
        <w:tabs>
          <w:tab w:leader="none" w:pos="168" w:val="left"/>
        </w:tabs>
        <w:numPr>
          <w:ilvl w:val="0"/>
          <w:numId w:val="185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Опубликован доклад для общественных консультаций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27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«Новый национальный норматив краткосрочной ликвидности»</w:t>
        </w:r>
      </w:hyperlink>
      <w:r>
        <w:rPr>
          <w:rFonts w:ascii="Arial" w:cs="Arial" w:eastAsia="Arial" w:hAnsi="Arial"/>
          <w:sz w:val="16"/>
          <w:szCs w:val="16"/>
          <w:color w:val="auto"/>
        </w:rPr>
        <w:t xml:space="preserve"> и отчет об итогах публичного обсуждения доклада.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bookmarkStart w:id="48" w:name="page49"/>
    <w:bookmarkEnd w:id="4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что направлено на обеспечение более качественного ранжирования проектов по уровню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их надежности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развитие требований к операционной устойчивости и операционной надежности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Будут уточнены требования к управлению операционным риском при передаче банками критически важных функций на аутсорсинг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дифференциацию требований</w:t>
      </w:r>
    </w:p>
    <w:p>
      <w:pPr>
        <w:ind w:left="6" w:right="260" w:hanging="6"/>
        <w:spacing w:after="0" w:line="301" w:lineRule="auto"/>
        <w:tabs>
          <w:tab w:leader="none" w:pos="171" w:val="left"/>
        </w:tabs>
        <w:numPr>
          <w:ilvl w:val="0"/>
          <w:numId w:val="18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поставщикам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мониторинг качества выполнения функций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требования к операционной надежности и защите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20" w:hanging="6"/>
        <w:spacing w:after="0" w:line="292" w:lineRule="auto"/>
        <w:tabs>
          <w:tab w:leader="none" w:pos="201" w:val="left"/>
        </w:tabs>
        <w:numPr>
          <w:ilvl w:val="0"/>
          <w:numId w:val="18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стимулирования банков к снижению рисков и поддержанию оптимальных значений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показателей планируется дифференциация требований по соблюдению ряда нормативов с уплатой повышенных взносов в ФОСВ или иные фонды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концепция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оранжевой зоны</w:t>
      </w:r>
      <w:r>
        <w:rPr>
          <w:rFonts w:ascii="Arial" w:cs="Arial" w:eastAsia="Arial" w:hAnsi="Arial"/>
          <w:sz w:val="20"/>
          <w:szCs w:val="20"/>
          <w:color w:val="auto"/>
        </w:rPr>
        <w:t>»).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Данная концепция предполагает введение гибкого режима соблюдения отдельных нормативов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концентрации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ННКЛ</w:t>
      </w:r>
      <w:r>
        <w:rPr>
          <w:rFonts w:ascii="Arial" w:cs="Arial" w:eastAsia="Arial" w:hAnsi="Arial"/>
          <w:sz w:val="20"/>
          <w:szCs w:val="20"/>
          <w:color w:val="auto"/>
        </w:rPr>
        <w:t>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принятия банками неоптимальных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еще не критических рисков банк будет платить повышенные отчисления в ФОСВ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это не будет трактоваться как нарушение обязательного норматива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соответственно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будет приводить к автоматическому применению мер воздействия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Будет усовершенствована система страхования вкладов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была опубликована Концепция</w:t>
      </w:r>
      <w:r>
        <w:rPr>
          <w:rFonts w:ascii="Arial" w:cs="Arial" w:eastAsia="Arial" w:hAnsi="Arial"/>
          <w:sz w:val="11"/>
          <w:szCs w:val="11"/>
          <w:color w:val="auto"/>
        </w:rPr>
        <w:t>40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дифференциации лимита страхового возмещения и ставок отчислений в ФОСВ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предусматривающая увеличение лимита страхового возмещения по долгосрочным рублевым вкладам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безотзывным сберегательным сертификатам и снижение ставок страховых отчислений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 w:right="680" w:hanging="6"/>
        <w:spacing w:after="0" w:line="296" w:lineRule="auto"/>
        <w:tabs>
          <w:tab w:leader="none" w:pos="174" w:val="left"/>
        </w:tabs>
        <w:numPr>
          <w:ilvl w:val="0"/>
          <w:numId w:val="18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ФОСВ по ним</w:t>
      </w:r>
      <w:r>
        <w:rPr>
          <w:rFonts w:ascii="Arial" w:cs="Arial" w:eastAsia="Arial" w:hAnsi="Arial"/>
          <w:sz w:val="11"/>
          <w:szCs w:val="11"/>
          <w:color w:val="auto"/>
        </w:rPr>
        <w:t>41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Данные новации сделают долгосрочные вклады более привлекательными для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позволят банкам повысить их доходность и обеспечат приток устойчивых долгосрочных пассивов для финансирования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Продолжится развитие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чувствительного стимулирующего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посредством его распространения на новых участников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ББЛ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дополнительные виды проектов и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проекты устойчивого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долевые вложения кредитных организаций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320" w:hanging="6"/>
        <w:spacing w:after="0" w:line="296" w:lineRule="auto"/>
        <w:tabs>
          <w:tab w:leader="none" w:pos="174" w:val="left"/>
        </w:tabs>
        <w:numPr>
          <w:ilvl w:val="0"/>
          <w:numId w:val="18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совместные фонды с ВЭБ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РФ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вложения в облигации по проектам ТС и САЭ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42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Новации будут способствовать расширению финансирования наиболее важных для экономического развития направлений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проектов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обеспечение ТС и САЭ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Ведется разработка норм регулирования для филиалов иностранных банков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ФИБ</w:t>
      </w:r>
      <w:r>
        <w:rPr>
          <w:rFonts w:ascii="Arial" w:cs="Arial" w:eastAsia="Arial" w:hAnsi="Arial"/>
          <w:sz w:val="20"/>
          <w:szCs w:val="20"/>
          <w:color w:val="auto"/>
        </w:rPr>
        <w:t>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подходов к расчету нормативов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составлению отчетности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применению мер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Новации позволят создать регулятивную среду для эффективной работы ФИБ на российском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также будет и дальше развивать надзорную оценку 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позволит формировать надзорное суждение об их финансовой устойчивости с учетом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профиля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качества подготовки планов восстановления финансовой устойчивости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ПВФУ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результатов надзорного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НСТ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имеющихся у них источников на покрытие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планируется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изменение подходов к оценке экономического положения банков на основе системы надзорных рейтингов для повышения ее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чувствительности</w:t>
      </w:r>
      <w:r>
        <w:rPr>
          <w:rFonts w:ascii="Arial" w:cs="Arial" w:eastAsia="Arial" w:hAnsi="Arial"/>
          <w:sz w:val="11"/>
          <w:szCs w:val="11"/>
          <w:color w:val="auto"/>
        </w:rPr>
        <w:t>43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Оценка будет учитывать всю доступную надзорную информацию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результаты оценки ПВФУ и НСТ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позволит более точно ранжировать банки по уровню риска и лучше настраивать для них интенсивность надзорных действий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191770</wp:posOffset>
                </wp:positionV>
                <wp:extent cx="1259840" cy="0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5" o:spid="_x0000_s10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5.1pt" to="99.2pt,15.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ind w:left="146" w:right="560" w:hanging="146"/>
        <w:spacing w:after="0" w:line="254" w:lineRule="auto"/>
        <w:tabs>
          <w:tab w:leader="none" w:pos="163" w:val="left"/>
        </w:tabs>
        <w:numPr>
          <w:ilvl w:val="0"/>
          <w:numId w:val="190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r>
        <w:rPr>
          <w:rFonts w:ascii="Arial" w:cs="Arial" w:eastAsia="Arial" w:hAnsi="Arial"/>
          <w:sz w:val="16"/>
          <w:szCs w:val="16"/>
          <w:color w:val="auto"/>
        </w:rPr>
        <w:t>Концепция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21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Дифференциация лимита страхового возмещения и ставок страховых взносов в Фонд обязательного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21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страхования вкладов в зависимости от вида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,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срока и валюты вклада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»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pacing w:after="0" w:line="86" w:lineRule="exact"/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19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см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задачу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4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Участие банков в финансировании экономического развития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текущего направления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9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см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задачу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4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Участие банков в финансировании экономического развития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текущего направления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9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Публикация доклада для общественных консультаций по надзорному рейтингу планируется в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2024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году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49" w:name="page50"/>
    <w:bookmarkEnd w:id="4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46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‒‒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развитие регулирования ВПОДК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(</w:t>
      </w:r>
      <w:r>
        <w:rPr>
          <w:rFonts w:ascii="Arial" w:cs="Arial" w:eastAsia="Arial" w:hAnsi="Arial"/>
          <w:sz w:val="19"/>
          <w:szCs w:val="19"/>
          <w:color w:val="auto"/>
        </w:rPr>
        <w:t>внутренние процедуры оценки достаточности капитала</w:t>
      </w:r>
      <w:r>
        <w:rPr>
          <w:rFonts w:ascii="Arial" w:cs="Arial" w:eastAsia="Arial" w:hAnsi="Arial"/>
          <w:sz w:val="19"/>
          <w:szCs w:val="19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44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Планируется уточнить требования к управлению отдельными видами рисков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оптимизировать форму сбора информации по ВПОДК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модернизировать подходы к надзорной оценке качества ВПОДК</w:t>
      </w:r>
      <w:r>
        <w:rPr>
          <w:rFonts w:ascii="Arial" w:cs="Arial" w:eastAsia="Arial" w:hAnsi="Arial"/>
          <w:sz w:val="19"/>
          <w:szCs w:val="19"/>
          <w:color w:val="auto"/>
        </w:rPr>
        <w:t>; ‒‒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усиление роли НСТ банков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До конца текущего года планируется опубликовать и обсудить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2" w:lineRule="auto"/>
        <w:tabs>
          <w:tab w:leader="none" w:pos="177" w:val="left"/>
        </w:tabs>
        <w:numPr>
          <w:ilvl w:val="0"/>
          <w:numId w:val="19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банковским сообществом концепцию развития и использования НСТ для надзорной оценки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обсуждению будут представлены будущая архитектура процесса проведения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теста и методология оценки Банком России его результатов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итогам обсуждения будут проработаны необходимые изменения в банковском регулировании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регулирования ПВФУ с целью мотивации банков к самостоятельной реализации мер</w:t>
      </w:r>
    </w:p>
    <w:p>
      <w:pPr>
        <w:ind w:left="6" w:right="20"/>
        <w:spacing w:after="0" w:line="29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поддержанию капитала и ликвидности в стрессе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без необходимости оказания им господдержки или предоставления регулятивных послаблений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планируется уточнить требования к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сценариям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триггерам реализации ПВФУ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мероприятиям восстановления финансовой устойчивости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Дополнительно прорабатывается вопрос повышения вовлеченности собственников и менеджмента банков в процесс планирования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на этапе срабатывания триггеров и запуска ПВФУ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Ожидается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новые требования заработают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 w:right="200" w:hanging="6"/>
        <w:spacing w:after="0" w:line="294" w:lineRule="auto"/>
        <w:tabs>
          <w:tab w:leader="none" w:pos="201" w:val="left"/>
        </w:tabs>
        <w:numPr>
          <w:ilvl w:val="0"/>
          <w:numId w:val="19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созданного Комитета по стандартам планируется внедрение нового формата мягкого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стандартов деятельности кредитных организаций во взаимодействии с рынком и Банком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Первый стандарт защиты прав и законных интересов ипотечных заемщиков</w:t>
      </w:r>
      <w:r>
        <w:rPr>
          <w:rFonts w:ascii="Arial" w:cs="Arial" w:eastAsia="Arial" w:hAnsi="Arial"/>
          <w:sz w:val="11"/>
          <w:szCs w:val="11"/>
          <w:color w:val="auto"/>
        </w:rPr>
        <w:t>45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уже утвержден Комитетом по стандартам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Основная цель данного документа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минимизировать распространение высокорисковых схем ипотечного кредитования и добиться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заемщики более четко понимали условия кредита и связанные с ним риски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перспективе рассматривается возможность учета информации о несоблюдении кредитными организациями стандартов деятельности в надзорной оценке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Реализация этих новаций будет способствовать развитию и повышению устойчивости банковского сектора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повысит клиентоориентированность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усилит роль банков в финансировании экономического развития нашей страны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720"/>
        <w:spacing w:after="0" w:line="301" w:lineRule="auto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Информация о планах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статусе инициатив публикуется на периодической основе в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2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обзорах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2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банковского регулирования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,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плане подготовки нормативных актов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Банка России на год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pacing w:after="0" w:line="36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Регулирование микрофинансового рынка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примет дополнительные меры регулирования для усиления защиты прав потребителей на микрофинансовом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будет способствовать повышению прозрачности этого сегмента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его развитию и защите прав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2025 – 2027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 планируется изменение конфигурации рынка микрофинансовых организаций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0"/>
        <w:spacing w:after="0" w:line="29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МФО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его разделение на три сегмента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компании предпринимательского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компании целевого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микрофинансовые компании и комплексный пересмотр пруденциальных норм в отношении каждого вида компаний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Основные изменения затронут рынок наиболее дорогих потребительских займов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предлагается установить лимит на количество одновременно действующих договоров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ввести период охлаждения между оформлением займов и снизить уровень максимальной переплаты по займу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Эти меры помогут сделать займы более доступными для населения 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позволят оградить людей от неконтролируемого роста долга и повысить уровень доверия к рынку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Конкретные шаги будут выработаны по итогам обсуждения доклада для общественных консультаций</w:t>
      </w:r>
      <w:r>
        <w:rPr>
          <w:rFonts w:ascii="Arial" w:cs="Arial" w:eastAsia="Arial" w:hAnsi="Arial"/>
          <w:sz w:val="11"/>
          <w:szCs w:val="11"/>
          <w:color w:val="auto"/>
        </w:rPr>
        <w:t>46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представителями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71755</wp:posOffset>
                </wp:positionV>
                <wp:extent cx="1259840" cy="0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6" o:spid="_x0000_s10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5.65pt" to="99.2pt,5.65pt" o:allowincell="f" strokecolor="#000000" strokeweight="0.25pt"/>
            </w:pict>
          </mc:Fallback>
        </mc:AlternateContent>
      </w: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94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Концепция предложенных изменений будет опубликована на сайте Банка России до конца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2024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года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94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hyperlink r:id="rId29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 стандарте защиты ипотечных заемщиков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194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hyperlink r:id="rId30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Перспективные направления развития рынка микрофинансовых организаций на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2025 – 2027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годы</w:t>
        </w:r>
        <w:r>
          <w:rPr>
            <w:rFonts w:ascii="Arial" w:cs="Arial" w:eastAsia="Arial" w:hAnsi="Arial"/>
            <w:sz w:val="16"/>
            <w:szCs w:val="16"/>
            <w:color w:val="000000"/>
          </w:rPr>
          <w:t>.</w:t>
        </w:r>
      </w:hyperlink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50" w:name="page51"/>
    <w:bookmarkEnd w:id="5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4" w:lineRule="auto"/>
        <w:tabs>
          <w:tab w:leader="none" w:pos="210" w:val="left"/>
        </w:tabs>
        <w:numPr>
          <w:ilvl w:val="0"/>
          <w:numId w:val="19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февраля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вводится новая модель допуска кредитных потребительских кооперативов на рынок и устанавливаются требования к деловой репутации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или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квалификационные требования в отношении отдельных должностных лиц кредитных кооперативов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единоличный исполнительный орган</w:t>
      </w:r>
      <w:r>
        <w:rPr>
          <w:rFonts w:ascii="Arial" w:cs="Arial" w:eastAsia="Arial" w:hAnsi="Arial"/>
          <w:sz w:val="11"/>
          <w:szCs w:val="11"/>
          <w:color w:val="auto"/>
        </w:rPr>
        <w:t>47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Эти меры повысят защищенность личных сбережений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направляемых в кредитные потребительские кооперативы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минимизируют риски появления финансовых пирамид под видом кредитных потребительских кооперативов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в дальнейшем ввести новую модель допуска сельскохозяйственных кредитных потребительских кооперативов на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Ввиду наблюдаемого активного роста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направления МФО начиная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jc w:val="both"/>
        <w:ind w:left="6" w:right="880" w:hanging="6"/>
        <w:spacing w:after="0" w:line="295" w:lineRule="auto"/>
        <w:tabs>
          <w:tab w:leader="none" w:pos="186" w:val="left"/>
        </w:tabs>
        <w:numPr>
          <w:ilvl w:val="0"/>
          <w:numId w:val="19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возрастания рисков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мошенничества Банк России также продолжит реализацию комплекса мер по противодействию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мошенничеству в сфере деятельности МФО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том числе развитие системы информационной безопасности и защиты информации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84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МФО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формирование правовых основ для использования МФО различного рода данных из государственных и коммерческих информационных систем в целях выявления</w:t>
      </w: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9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предотвращения мошеннических операций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300" w:lineRule="auto"/>
        <w:tabs>
          <w:tab w:leader="none" w:pos="201" w:val="left"/>
        </w:tabs>
        <w:numPr>
          <w:ilvl w:val="0"/>
          <w:numId w:val="19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защиты прав потребителей финансовых услуг планируется совершенствование института административной ответственности СРО и совершенствование института административной ответственности за незаконное использование наименований МФО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6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Регулирование профессиональных участников рынка ценных бумаг и управляющих компаний ПИФ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будет продолжать совершенствовать регулирование и надзор за деятельностью управляющих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доверительных управляющих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брокеров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инвестиционных советников</w:t>
      </w:r>
    </w:p>
    <w:p>
      <w:pPr>
        <w:ind w:left="6" w:right="180" w:hanging="6"/>
        <w:spacing w:after="0" w:line="294" w:lineRule="auto"/>
        <w:tabs>
          <w:tab w:leader="none" w:pos="174" w:val="left"/>
        </w:tabs>
        <w:numPr>
          <w:ilvl w:val="0"/>
          <w:numId w:val="19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обеспечения их устойчивости в новых условиях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продолжит принимать меры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повышение уровня защиты прав и законных интересов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Банку России необходимо проработать с Росфинмониторингом вопросы о предоставлении профессиональным участникам рынка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ПУРЦБ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управляющим компаниям инвестиционных фондов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паевых инвестиционных фондов и негосударственных пенсионных фондов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УК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права делегировать идентификацию клиентов другим ПУРЦБ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 и НПФ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об установлении аналогичного перечня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которым НПФ могут поручать проведение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Основные меры будут направлены на улучшение качества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предоставляемых указанными финансовыми институтами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защиту прав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особенно актуально в условиях возрастающего интереса граждан к инструментам рынка капитала и усиления роли финансовых посредников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оказывающих розничным клиентам услуги инвестиционного характера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будет совершенствовать регулирование и надзор за деятельностью инвестиционных советников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Финансовое консультирование получает все более широкое распространение</w:t>
      </w:r>
    </w:p>
    <w:p>
      <w:pPr>
        <w:ind w:left="6" w:right="200" w:hanging="6"/>
        <w:spacing w:after="0" w:line="294" w:lineRule="auto"/>
        <w:tabs>
          <w:tab w:leader="none" w:pos="177" w:val="left"/>
        </w:tabs>
        <w:numPr>
          <w:ilvl w:val="0"/>
          <w:numId w:val="19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приходом массового клиента на рынок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расширяется предложение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близких к инвестиционному консультированию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находящихся вне действующего правового поля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этого в дополнение к уточнению понятия индивидуальной инвестиционной рекомендации планируется определить возможные подходы к регулированию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идентичных инвестиционному консультированию или тесно граничащих с ним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по ряду формальных признаков не признаваемых таковыми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487680</wp:posOffset>
                </wp:positionV>
                <wp:extent cx="1259840" cy="0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7" o:spid="_x0000_s106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8.4pt" to="99.2pt,38.4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166" w:right="160" w:hanging="166"/>
        <w:spacing w:after="0" w:line="190" w:lineRule="exact"/>
        <w:tabs>
          <w:tab w:leader="none" w:pos="162" w:val="left"/>
        </w:tabs>
        <w:numPr>
          <w:ilvl w:val="0"/>
          <w:numId w:val="20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08.08.2024 № 254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отдельные законодательные акты Российской Федерации».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  <w:type w:val="continuous"/>
        </w:sectPr>
      </w:pPr>
    </w:p>
    <w:bookmarkStart w:id="51" w:name="page52"/>
    <w:bookmarkEnd w:id="5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48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также оценит возможности совершенствования регулирования в части применения программ робоэдвайзеров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электронных программ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используются инвестиционными советниками для предоставления клиентам инвестиционных рекомендаций в автоматическом режиме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Регулирование негосударственных пенсионных фондов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работу по совершенствованию регулирования и надзора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2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 деятельностью НПФ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осуществляют деятельность по негосударственному пенсионному обеспечению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НПО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формированию долгосрочных сбережений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ПДС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ind w:left="6" w:right="340" w:hanging="6"/>
        <w:spacing w:after="0" w:line="296" w:lineRule="auto"/>
        <w:tabs>
          <w:tab w:leader="none" w:pos="186" w:val="left"/>
        </w:tabs>
        <w:numPr>
          <w:ilvl w:val="0"/>
          <w:numId w:val="20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обязательному пенсионному страхованию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ОПС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Средства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доверенные НПФ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гарантируются Агентством по страхованию вкладов и являются источником долгосрочных ресурсов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3" w:lineRule="auto"/>
        <w:tabs>
          <w:tab w:leader="none" w:pos="201" w:val="left"/>
        </w:tabs>
        <w:numPr>
          <w:ilvl w:val="0"/>
          <w:numId w:val="20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повышения спроса на продукты НПФ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января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запущена ПДС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обеспечивает формирование дополнительного долгосрочного капитала</w:t>
      </w:r>
      <w:r>
        <w:rPr>
          <w:rFonts w:ascii="Arial" w:cs="Arial" w:eastAsia="Arial" w:hAnsi="Arial"/>
          <w:sz w:val="11"/>
          <w:szCs w:val="11"/>
          <w:color w:val="auto"/>
        </w:rPr>
        <w:t>48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введены изменения в системе вознаграждения НПФ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осуществляющих деятельность по НПО и ПДС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Банком России также изданы требования к расчету дохода от размещения средств пенсионных резервов для целей расчета переменной части вознаграждения и определен специальный финансовый индикатор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бенчмарк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49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которого выбрана доходность по банковским вкладам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Указанные требования предусматривают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вознаграждение НПФ будет зависеть от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превысила ли полученная доходность от размещения пенсионных резервов бенчмарк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создает дополнительные стимулы для получения фондами более высокого дохода для своих клиентов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301" w:lineRule="auto"/>
        <w:tabs>
          <w:tab w:leader="none" w:pos="210" w:val="left"/>
        </w:tabs>
        <w:numPr>
          <w:ilvl w:val="0"/>
          <w:numId w:val="20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января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НПФ будут обязаны выявлять конфликт интересов и управлять им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также будет способствовать повышению доверия граждан к их деятельности</w:t>
      </w:r>
      <w:r>
        <w:rPr>
          <w:rFonts w:ascii="Arial" w:cs="Arial" w:eastAsia="Arial" w:hAnsi="Arial"/>
          <w:sz w:val="11"/>
          <w:szCs w:val="11"/>
          <w:color w:val="auto"/>
        </w:rPr>
        <w:t>50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Ввиду того что средства НПФ являются источником так называемых длинных денег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предоставления НПФ дополнительных инвестиционных возможностей планируется снятие отдельных ограничений на состав и структуру активов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которые размещаются средства пенсионных резервов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переход от квазиинвестиционной декларации к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ориентированному подходу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котором расширение возможностей НПФ уравновешено развитием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тестирования и ужесточением требований к его результатам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также планирует актуализировать требования к внутреннему контролю НПФ в связи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80" w:hanging="6"/>
        <w:spacing w:after="0" w:line="301" w:lineRule="auto"/>
        <w:tabs>
          <w:tab w:leader="none" w:pos="177" w:val="left"/>
        </w:tabs>
        <w:numPr>
          <w:ilvl w:val="0"/>
          <w:numId w:val="20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существенным изменением законодательства за последние годы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появлением у НПФ нового вида деятельности по формированию долгосрочных сбережений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869950</wp:posOffset>
                </wp:positionV>
                <wp:extent cx="1259840" cy="0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8" o:spid="_x0000_s106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68.5pt" to="99.2pt,68.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166" w:hanging="166"/>
        <w:spacing w:after="0" w:line="254" w:lineRule="auto"/>
        <w:tabs>
          <w:tab w:leader="none" w:pos="173" w:val="left"/>
        </w:tabs>
        <w:numPr>
          <w:ilvl w:val="0"/>
          <w:numId w:val="20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о ПДС см.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задачу 1 «Развитие инструментов долгосрочных сбережений и инвестиций для граждан»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текущего направления.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420" w:hanging="166"/>
        <w:spacing w:after="0" w:line="191" w:lineRule="exact"/>
        <w:tabs>
          <w:tab w:leader="none" w:pos="169" w:val="left"/>
        </w:tabs>
        <w:numPr>
          <w:ilvl w:val="0"/>
          <w:numId w:val="20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28.06.2024 № 6782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 «О порядке расчета дохода от размещения средств пенсионных резервов для целей расчета переменной части вознаграждения негосударственного пенсионного фонда, осуществляющего деятельность по негосударственному пенсионному обеспечению, формированию долгосрочных сбережений, а также расчетной величины дохода от размещения средств пенсионных резервов и о величине специального финансового индикатора, используемого при определении указанной расчетной величины».</w:t>
      </w:r>
    </w:p>
    <w:p>
      <w:pPr>
        <w:spacing w:after="0" w:line="97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140" w:hanging="166"/>
        <w:spacing w:after="0" w:line="251" w:lineRule="auto"/>
        <w:tabs>
          <w:tab w:leader="none" w:pos="172" w:val="left"/>
        </w:tabs>
        <w:numPr>
          <w:ilvl w:val="0"/>
          <w:numId w:val="20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01.10.2024 № 6883-У «О требованиях к выявлению конфликта интересов негосударственного пенсионного фонда и управлению конфликтом интересов негосударственного пенсионного фонда и к внутреннему документу негосударственного пенсионного фонда, разработанному во исполнение указанных требований» (направлено на государственную регистрацию в Минюст России).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2" w:gutter="0" w:footer="0" w:header="0"/>
        </w:sectPr>
      </w:pPr>
    </w:p>
    <w:bookmarkStart w:id="52" w:name="page53"/>
    <w:bookmarkEnd w:id="5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67" w:lineRule="auto"/>
        <w:tabs>
          <w:tab w:leader="none" w:pos="275" w:val="left"/>
        </w:tabs>
        <w:numPr>
          <w:ilvl w:val="0"/>
          <w:numId w:val="206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2.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Защита прав потребителей финансовых услуг и инвесторов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, </w:t>
      </w:r>
      <w:r>
        <w:rPr>
          <w:rFonts w:ascii="Arial" w:cs="Arial" w:eastAsia="Arial" w:hAnsi="Arial"/>
          <w:sz w:val="28"/>
          <w:szCs w:val="28"/>
          <w:color w:val="006391"/>
        </w:rPr>
        <w:t>повышение финансовой доступности для граждан и бизнеса</w:t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Обеспечение защиты потребителей финансовых услуг и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их финансовой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грамотности являются важнейшими направлениями деятельности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настоящее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время и на ближайшем трехлетнем горизонте работа в этой сфере будет усилена в части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инвестиционных продуктов и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киберзащиты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связано с присутствием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финансовом рынке миллионов новых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использующих преимущественно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каналы обслуживания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распространением цифровых технологий в финансовой сфере появляются новые виды нелегальной деятельности и мошенничества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Широкое использование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каналов и мобильной связи для обслуживания клиентов повышает скорость и удобство доступа к финансовым услугам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в то же время делает граждан более уязвимыми к действиям кибермошенников и угрозам социальной инженерии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требует повышения их защищенности при получении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Нелегальная и противоправная деятельность не только создает угрозы финансовых потерь для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бросает тень на добросовестных участников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снижая доверие к финансовому рынку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ind w:left="6" w:right="5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Особую значимость приобретает работа по обеспечению защиты прав инвесторов на рынке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интересов акционеров публичных обществ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будет уделять внимание обеспечению публичными компаниями должного уровня информационной прозрачности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60" w:hanging="6"/>
        <w:spacing w:after="0" w:line="296" w:lineRule="auto"/>
        <w:tabs>
          <w:tab w:leader="none" w:pos="186" w:val="left"/>
        </w:tabs>
        <w:numPr>
          <w:ilvl w:val="0"/>
          <w:numId w:val="20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обоснованности принимаемых корпоративных 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затрагивающих права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или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интересы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миноритарных акционеров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формированию прозрачной и предсказуемой дивидендной политики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1.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Развитие и адаптация системы защиты прав потребителей финансовых услуг и инвесторов с учетом изменений на финансовом рынке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jc w:val="both"/>
        <w:ind w:left="6" w:right="2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Защита неквалифицированного розничного инвестора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развития российского финансового рынка важно сформировать устойчивое доверие массового неквалифицированного инвестора к рынку капитала при одновременном ограничении рисков для такой категории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380" w:hanging="6"/>
        <w:spacing w:after="0" w:line="294" w:lineRule="auto"/>
        <w:tabs>
          <w:tab w:leader="none" w:pos="201" w:val="left"/>
        </w:tabs>
        <w:numPr>
          <w:ilvl w:val="0"/>
          <w:numId w:val="20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связи с этим Банк России реализует комплекс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защиту розничных инвесторов и совершенствование подходов к их допуску на рынок капитала в части процедур тестирования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признания лиц квалифицированными инвесторами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перечня доступных только квалифицированным инвесторам инструментов и ряда других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Эти меры позволят защитить неквалифицированного инвестора от рисков возможной потери средств при вложении их в продукты и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сути которых инвестор не понимает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293" w:lineRule="auto"/>
        <w:tabs>
          <w:tab w:leader="none" w:pos="188" w:val="left"/>
        </w:tabs>
        <w:numPr>
          <w:ilvl w:val="0"/>
          <w:numId w:val="20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мае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вступят в силу законодательные изменения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усовершенствуют требования для получения статуса квалифицированного инвестора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Предполагается прежде всего переход от признания физических лиц квалифицированными инвесторами по формальным основаниям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таким как размер активов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более широкому использованию образовательных критериев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со знаниями инвестора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возможность комбинирования имущественного критерия с иными критериями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уровнем знаний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введение нового самостоятельного критерия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уровня дохода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Одновременно предусматривается введение специального квалификационного экзамена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сдача которого позволит гражданам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обладающим достаточным размером активов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дохода или опытом совершения сделок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получить статус квалифицированного инвестора без необходимости соблюдения иных критериев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увеличен необходимый для этого размер активов и изменить их структуру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82" w:gutter="0" w:footer="0" w:header="0"/>
        </w:sectPr>
      </w:pPr>
    </w:p>
    <w:bookmarkStart w:id="53" w:name="page54"/>
    <w:bookmarkEnd w:id="5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50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установить требования к документам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подтверждающим наличие таких активов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исключить из законодательства о рынке ценных бумаг привязку получения статуса квалифицированного инвестора только к определенному инструменту или перечню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Предполагается совершенствовать систему защиты прав неквалифицированных инвесторов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инвестиционных платформах и рынке ЦФА для устранения регуляторного арбитража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приобретении сходных по своей сути финансовых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предлагается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модернизировать механизм расчета годового лимита для инвестиций в виде выдачи займов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совершаемых неквалифицированными инвесторами на инвестиционных платформах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оценить целесообразность изменения признаков ЦФА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приобретаться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неквалифицированными инвесторами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усовершенствовать механизм прекращения операторами информационных 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которых осуществляется выпуск ЦФА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своей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8" w:lineRule="exact"/>
        <w:rPr>
          <w:sz w:val="20"/>
          <w:szCs w:val="20"/>
          <w:color w:val="auto"/>
        </w:rPr>
      </w:pPr>
    </w:p>
    <w:p>
      <w:pPr>
        <w:ind w:left="6" w:right="600" w:hanging="6"/>
        <w:spacing w:after="0" w:line="295" w:lineRule="auto"/>
        <w:tabs>
          <w:tab w:leader="none" w:pos="201" w:val="left"/>
        </w:tabs>
        <w:numPr>
          <w:ilvl w:val="0"/>
          <w:numId w:val="20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защиты от кастодиального риска ценные бумаги и ПФИ на них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эмитентами которых являются резиденты иностранных государств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 исключением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ЕАЭС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ПФИ на них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будут отнесены к финансовым инструментам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предназначенным для квалифицированных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предполагается продолжение работы по формированию единых электронных реестров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признанных квалифицированными инвесторами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Эта мера будет способствовать сокращению недобросовестных практик присвоения статуса квалифицированного инвестора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Немаловажным является внедрение механизмов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позволяющих потребителю оценить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насколько условия финансового продукта понятны ему и соответствуют его ожиданиям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указанных целях на рынке ценных бумаг и финансовых платформах уже применяется механизм тестирования для сделок с ценными бумагами физических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являющихся квалифицированными инвесторами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октября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тестирование потребителей применяется при заключении договоров страхования жизни с условием о выплате дополнительного инвестиционного дохода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противодействия мисселингу при продаже финансовых продуктов предполагается последовательное расширение сферы применения на финансовом рынке периода охлаждения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460" w:hanging="6"/>
        <w:spacing w:after="0" w:line="301" w:lineRule="auto"/>
        <w:tabs>
          <w:tab w:leader="none" w:pos="174" w:val="left"/>
        </w:tabs>
        <w:numPr>
          <w:ilvl w:val="0"/>
          <w:numId w:val="21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течение которого потребитель сможет отказаться от соответствующего договора и вернуть уплаченные денежные средства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Сохраняет актуальность задача по обеспечению качественного и своевременного информирования потребителя о свойствах и рисках финансовых продуктов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наделение Банка России полномочиями по установлению требований к составу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подлежащей раскрытию кредитными организациями и некредитными финансовыми организациями в местах оказания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на официальных сайтах в информационно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телекоммуникационной сети Интернет в целях ознакомления потребителей финансовых услуг</w:t>
      </w:r>
      <w:r>
        <w:rPr>
          <w:rFonts w:ascii="Arial" w:cs="Arial" w:eastAsia="Arial" w:hAnsi="Arial"/>
          <w:sz w:val="11"/>
          <w:szCs w:val="11"/>
          <w:color w:val="auto"/>
        </w:rPr>
        <w:t>51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Дополнительно для усиления защиты прав и информированности потребителей банковских услуг проводится работа по принятию стандартов деятельности кредитных организаций в рамках созданного Комитета по стандартам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ind w:left="6" w:right="520" w:hanging="6"/>
        <w:spacing w:after="0" w:line="295" w:lineRule="auto"/>
        <w:tabs>
          <w:tab w:leader="none" w:pos="201" w:val="left"/>
        </w:tabs>
        <w:numPr>
          <w:ilvl w:val="0"/>
          <w:numId w:val="21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более быстрого и эффективного урегулирования разногласий между потребителями и финансовыми организациями будут проработаны возможные подходы к внедрению медиативных технологий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Примером является рекомендованный к применению кредитными организациями Стандарт комплексного урегулирования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351790</wp:posOffset>
                </wp:positionV>
                <wp:extent cx="1259840" cy="0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9" o:spid="_x0000_s10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7.7pt" to="99.2pt,27.7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166" w:right="360" w:hanging="166"/>
        <w:spacing w:after="0" w:line="254" w:lineRule="auto"/>
        <w:tabs>
          <w:tab w:leader="none" w:pos="135" w:val="left"/>
        </w:tabs>
        <w:numPr>
          <w:ilvl w:val="0"/>
          <w:numId w:val="21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Проект федерального закона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«</w:t>
      </w:r>
      <w:r>
        <w:rPr>
          <w:rFonts w:ascii="Arial" w:cs="Arial" w:eastAsia="Arial" w:hAnsi="Arial"/>
          <w:sz w:val="16"/>
          <w:szCs w:val="16"/>
          <w:color w:val="auto"/>
        </w:rPr>
        <w:t>О внесении изменений в статью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5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Федерального закона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«</w:t>
      </w:r>
      <w:r>
        <w:rPr>
          <w:rFonts w:ascii="Arial" w:cs="Arial" w:eastAsia="Arial" w:hAnsi="Arial"/>
          <w:sz w:val="16"/>
          <w:szCs w:val="16"/>
          <w:color w:val="auto"/>
        </w:rPr>
        <w:t>О национальной платежной системе</w:t>
      </w:r>
      <w:r>
        <w:rPr>
          <w:rFonts w:ascii="Arial" w:cs="Arial" w:eastAsia="Arial" w:hAnsi="Arial"/>
          <w:sz w:val="16"/>
          <w:szCs w:val="16"/>
          <w:color w:val="auto"/>
        </w:rPr>
        <w:t>»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и статью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5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Федерального закона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«</w:t>
      </w:r>
      <w:r>
        <w:rPr>
          <w:rFonts w:ascii="Arial" w:cs="Arial" w:eastAsia="Arial" w:hAnsi="Arial"/>
          <w:sz w:val="16"/>
          <w:szCs w:val="16"/>
          <w:color w:val="auto"/>
        </w:rPr>
        <w:t>О потребительском кредите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(</w:t>
      </w:r>
      <w:r>
        <w:rPr>
          <w:rFonts w:ascii="Arial" w:cs="Arial" w:eastAsia="Arial" w:hAnsi="Arial"/>
          <w:sz w:val="16"/>
          <w:szCs w:val="16"/>
          <w:color w:val="auto"/>
        </w:rPr>
        <w:t>займе</w:t>
      </w:r>
      <w:r>
        <w:rPr>
          <w:rFonts w:ascii="Arial" w:cs="Arial" w:eastAsia="Arial" w:hAnsi="Arial"/>
          <w:sz w:val="16"/>
          <w:szCs w:val="16"/>
          <w:color w:val="auto"/>
        </w:rPr>
        <w:t>)».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  <w:type w:val="continuous"/>
        </w:sectPr>
      </w:pPr>
    </w:p>
    <w:bookmarkStart w:id="54" w:name="page55"/>
    <w:bookmarkEnd w:id="5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jc w:val="both"/>
        <w:ind w:left="6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задолженности</w:t>
      </w:r>
      <w:r>
        <w:rPr>
          <w:rFonts w:ascii="Arial" w:cs="Arial" w:eastAsia="Arial" w:hAnsi="Arial"/>
          <w:sz w:val="11"/>
          <w:szCs w:val="11"/>
          <w:color w:val="auto"/>
        </w:rPr>
        <w:t>52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направленный на поддержку заемщиков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имеющих задолженность по кредитным договорам перед несколькими кредиторами и попавших в сложную жизненную ситуацию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Вместе</w:t>
      </w:r>
    </w:p>
    <w:p>
      <w:pPr>
        <w:ind w:left="6" w:right="160" w:hanging="6"/>
        <w:spacing w:after="0" w:line="292" w:lineRule="auto"/>
        <w:tabs>
          <w:tab w:leader="none" w:pos="177" w:val="left"/>
        </w:tabs>
        <w:numPr>
          <w:ilvl w:val="0"/>
          <w:numId w:val="2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тем для более эффективного применения комплексного урегулирования задолженности и охвата всех кредиторов эта процедура должна быть обязательной и закрепленной на законодательном уровне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в настоящее время при участии Банка России и Службы финансового уполномоченного осуществляется разработка законодательных изменений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устанавливающих комплексное урегулирование задолженности в качестве единого обязательного досудебного порядка урегулирования споров между кредиторами и заемщиками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физическими лицами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возможностью участия в указанной процедуре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 отдельных ее этапах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уполномоченного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правам потребителей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Среди потребителей финансовых услуг быстрыми темпами растет спрос на услуги потребительской рассрочки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при этом специальное регулирование данного сегмента рынка отсутствует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Вместе</w:t>
      </w:r>
    </w:p>
    <w:p>
      <w:pPr>
        <w:ind w:left="6" w:right="60" w:hanging="6"/>
        <w:spacing w:after="0" w:line="292" w:lineRule="auto"/>
        <w:tabs>
          <w:tab w:leader="none" w:pos="172" w:val="left"/>
        </w:tabs>
        <w:numPr>
          <w:ilvl w:val="0"/>
          <w:numId w:val="21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тем основные потребители этого финансового продукта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лица с невысокими доходами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нуждаются в дополнительной защите от закредитованности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планируется законодательно урегулировать</w:t>
      </w:r>
      <w:r>
        <w:rPr>
          <w:rFonts w:ascii="Arial" w:cs="Arial" w:eastAsia="Arial" w:hAnsi="Arial"/>
          <w:sz w:val="11"/>
          <w:szCs w:val="11"/>
          <w:color w:val="auto"/>
        </w:rPr>
        <w:t>53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вопросы предоставления рассрочки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определить условия осуществления деятельности операторов сервиса</w:t>
      </w:r>
      <w:r>
        <w:rPr>
          <w:rFonts w:ascii="Arial" w:cs="Arial" w:eastAsia="Arial" w:hAnsi="Arial"/>
          <w:sz w:val="11"/>
          <w:szCs w:val="11"/>
          <w:color w:val="auto"/>
        </w:rPr>
        <w:t>54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установить правила информирования о правах и гарантиях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аналогичных предусмотренным в законодательстве о потребительском кредите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займе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приобретающих товары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работы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услуги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результаты интеллектуальной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60" w:hanging="6"/>
        <w:spacing w:after="0" w:line="296" w:lineRule="auto"/>
        <w:tabs>
          <w:tab w:leader="none" w:pos="172" w:val="left"/>
        </w:tabs>
        <w:numPr>
          <w:ilvl w:val="0"/>
          <w:numId w:val="21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использованием так называемых сервисов рассрочки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направлены на повышение прозрачности рынка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сохранение финансовой стабильности и противодействие распространению теневых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поведенческого надзора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создавать стимулы для повышения клиентоориентированности поставщиков финансовых услуг с учетом приоритета превентивного поведенческого надзора и тренда на развитие дистанционных каналов коммуникации с клиентами с учетом следующего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совершенствование инструментария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ориентированного поведенческого надзора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числе развитие инструментов выявления и оценки еще не реализованных потребительских рисков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деятельности поднадзорных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сочетание двух составляющих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надзорной и консультативной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деятельности Банка России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как системный подход к развитию поведенческого надзора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jc w:val="both"/>
        <w:ind w:left="6" w:right="22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изменение парадигмы менеджмента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клиентоориентированности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моделей поставщиков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8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Одним из вопросов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в настоящее время находится в фокусе внимания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является вопрос усиления ответственности кредитных организаций за нарушения законодательства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 мисселингом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навязыванием дополнительных услуг и другими неприемлемыми практиками в отношении потребителей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снижения таких практик и изменения политики взаимодействия с клиентами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434975</wp:posOffset>
                </wp:positionV>
                <wp:extent cx="1259840" cy="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0" o:spid="_x0000_s10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4.25pt" to="99.2pt,34.2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166" w:right="420" w:hanging="166"/>
        <w:spacing w:after="0" w:line="250" w:lineRule="auto"/>
        <w:tabs>
          <w:tab w:leader="none" w:pos="166" w:val="left"/>
        </w:tabs>
        <w:numPr>
          <w:ilvl w:val="0"/>
          <w:numId w:val="21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Информационное письмо от 25.04.2023 № ИН-03-59/33 о Стандарте защиты прав и интересов заемщиков – физических лиц при урегулировании задолженности по кредитным договорам, заключенным в целях, не связанных</w:t>
      </w:r>
    </w:p>
    <w:p>
      <w:pPr>
        <w:ind w:left="166" w:right="160" w:hanging="8"/>
        <w:spacing w:after="0" w:line="251" w:lineRule="auto"/>
        <w:tabs>
          <w:tab w:leader="none" w:pos="303" w:val="left"/>
        </w:tabs>
        <w:numPr>
          <w:ilvl w:val="2"/>
          <w:numId w:val="215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осуществлением предпринимательской деятельности, от 25.04.2023 № ИН-03-59/33. В настоящее время Стандартом комплексного урегулирования задолженности руководствуются в своей деятельности 11 банков, в том числе крупнейшие, что свидетельствует о востребованности данного механизма у участников рынка даже в условиях, когда он носит рекомендательный характер.</w:t>
      </w:r>
    </w:p>
    <w:p>
      <w:pPr>
        <w:spacing w:after="0" w:line="89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1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Проект федерального закона № 689381-8 «О деятельности по предоставлению сервиса рассрочки» внесен</w:t>
      </w:r>
    </w:p>
    <w:p>
      <w:pPr>
        <w:spacing w:after="0" w:line="8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266" w:hanging="126"/>
        <w:spacing w:after="0"/>
        <w:tabs>
          <w:tab w:leader="none" w:pos="266" w:val="left"/>
        </w:tabs>
        <w:numPr>
          <w:ilvl w:val="1"/>
          <w:numId w:val="215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Государственную Думу 05.08.2024.</w:t>
      </w:r>
    </w:p>
    <w:p>
      <w:pPr>
        <w:spacing w:after="0" w:line="99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166" w:right="880" w:hanging="166"/>
        <w:spacing w:after="0" w:line="252" w:lineRule="auto"/>
        <w:tabs>
          <w:tab w:leader="none" w:pos="169" w:val="left"/>
        </w:tabs>
        <w:numPr>
          <w:ilvl w:val="0"/>
          <w:numId w:val="21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Оператор сервиса рассрочки обязуется исполнить поручение пользователя по оплате цены договора, предусматривающего приобретение указанного пользователем объекта рассрочки, а пользователь обязуется возместить издержки оператора сервиса рассрочки на исполнение такого поручения.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bookmarkStart w:id="55" w:name="page56"/>
    <w:bookmarkEnd w:id="5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0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95"/>
              </w:rPr>
              <w:t>52</w:t>
            </w: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2" w:lineRule="auto"/>
        <w:tabs>
          <w:tab w:leader="none" w:pos="195" w:val="left"/>
        </w:tabs>
        <w:numPr>
          <w:ilvl w:val="0"/>
          <w:numId w:val="21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улучшения качества взаимодействия банков и НФО с потребителями при реализации финансовых услуг и повышения удовлетворенности граждан услугами финансового рынка Банк России проводит исследования порядка реализации профессиональными кредиторами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Банк России осуществляет различные опросы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привлекает к мероприятиям по выявлению недобросовестных практик на рынке общественные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публикует на своем официальном сайте разъяснения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вопросы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ответы в целях доведения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 поднадзорных организаций позиции Банка России по различным вопросам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информацию о недобросовестных и лучших практиках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выявленных в ходе надзорной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развивать практику мониторинга следования поднадзорных организаций рекомендациям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касающимся защиты прав потребителей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принимаемым Банком России самостоятельно или совместно с федеральными органами исполнительной власти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использовать инструмент поведенческой экспертизы в отношении регуляторных норм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требованиями к форме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содержанию и порядку доведения информации о финансовых продуктах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порядку взаимодействия поставщиков продуктов с клиентами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2.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Обеспечение защиты от противоправных деяний на финансовом рынке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совместно с участниками финансового рынка продолжит реализацию мероприятий по защите прав потребителей финансовых услуг и повышению уровня доверия к цифровым технологиям в рамках принятых законодательных инициатив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регулятор в том числе выявляет нелегальных поставщиков финансовых услуг и предупреждает потребителей об опасности взаимодействия с ними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противодействует совершению операций без согласия клиентов и социальной инженерии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2" w:lineRule="auto"/>
        <w:tabs>
          <w:tab w:leader="none" w:pos="202" w:val="left"/>
        </w:tabs>
        <w:numPr>
          <w:ilvl w:val="0"/>
          <w:numId w:val="2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марта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вступают в силу законодательные изменения</w:t>
      </w:r>
      <w:r>
        <w:rPr>
          <w:rFonts w:ascii="Arial" w:cs="Arial" w:eastAsia="Arial" w:hAnsi="Arial"/>
          <w:sz w:val="11"/>
          <w:szCs w:val="11"/>
          <w:color w:val="auto"/>
        </w:rPr>
        <w:t>55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предусматривающие возможность установления гражданином в своей кредитной истории запрета на выдачу ему кредита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займа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придание юридической значимости такой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механизм установления гражданином самозапрета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позволят эффективно бороться с практиками мошеннического получения потребительских кредитов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займов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третьими лицами путем незаконного использования персональных данных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 использованием методов социальной инженерии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граждан подталкивают к получению потребительских кредитов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займов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последующей передачей денежных средств третьим лицам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осуществляющим мошеннические действия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Ключевым условием такого механизма является использование уникального идентификатора гражданина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ИНН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позволяющего однозначно определить гражданина как при установлении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снятии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запрета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, </w:t>
      </w:r>
      <w:r>
        <w:rPr>
          <w:rFonts w:ascii="Arial" w:cs="Arial" w:eastAsia="Arial" w:hAnsi="Arial"/>
          <w:sz w:val="20"/>
          <w:szCs w:val="20"/>
          <w:color w:val="auto"/>
        </w:rPr>
        <w:t>так и в рамках проверки наличия запрета в кредитной истории гражданина в целях заключения договора потребительского кредита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займа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обеспечения гражданину возможности подать через портал Госуслуги и многофункциональные центры оказания государственных и муниципальных услуг заявление для установления самозапрета и получить сведения о наличии у него самозапрета будут осуществляться необходимые организационно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технические мероприятия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7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31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Запланирована дальнейшая работа по законодательному закреплению механизмов противодействия мошенническим схемам по хищению денежных средств с использованием методов социальной инженерии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результате применения которых граждане под влиянием угроз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обмана и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(</w:t>
      </w:r>
      <w:r>
        <w:rPr>
          <w:rFonts w:ascii="Arial" w:cs="Arial" w:eastAsia="Arial" w:hAnsi="Arial"/>
          <w:sz w:val="19"/>
          <w:szCs w:val="19"/>
          <w:color w:val="auto"/>
        </w:rPr>
        <w:t>или</w:t>
      </w:r>
      <w:r>
        <w:rPr>
          <w:rFonts w:ascii="Arial" w:cs="Arial" w:eastAsia="Arial" w:hAnsi="Arial"/>
          <w:sz w:val="19"/>
          <w:szCs w:val="19"/>
          <w:color w:val="auto"/>
        </w:rPr>
        <w:t>)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вследствие злоупотребления доверием оформляют кредиты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(</w:t>
      </w:r>
      <w:r>
        <w:rPr>
          <w:rFonts w:ascii="Arial" w:cs="Arial" w:eastAsia="Arial" w:hAnsi="Arial"/>
          <w:sz w:val="19"/>
          <w:szCs w:val="19"/>
          <w:color w:val="auto"/>
        </w:rPr>
        <w:t>займы</w:t>
      </w:r>
      <w:r>
        <w:rPr>
          <w:rFonts w:ascii="Arial" w:cs="Arial" w:eastAsia="Arial" w:hAnsi="Arial"/>
          <w:sz w:val="19"/>
          <w:szCs w:val="19"/>
          <w:color w:val="auto"/>
        </w:rPr>
        <w:t>)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и передают заемные денежные средства мошенникам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 регулировании предлагается закрепить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что с определенной суммы кредита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153035</wp:posOffset>
                </wp:positionV>
                <wp:extent cx="1259840" cy="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1" o:spid="_x0000_s10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2.05pt" to="99.2pt,12.0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</w:sectPr>
      </w:pPr>
    </w:p>
    <w:p>
      <w:pPr>
        <w:spacing w:after="0" w:line="378" w:lineRule="exact"/>
        <w:rPr>
          <w:sz w:val="20"/>
          <w:szCs w:val="20"/>
          <w:color w:val="auto"/>
        </w:rPr>
      </w:pPr>
    </w:p>
    <w:p>
      <w:pPr>
        <w:ind w:left="166" w:right="380" w:hanging="166"/>
        <w:spacing w:after="0" w:line="190" w:lineRule="exact"/>
        <w:tabs>
          <w:tab w:leader="none" w:pos="165" w:val="left"/>
        </w:tabs>
        <w:numPr>
          <w:ilvl w:val="0"/>
          <w:numId w:val="21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26.02.2024 № 31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Федеральный закон «О кредитных историях» и Федеральный закон «О потребительском кредите (займе)».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  <w:type w:val="continuous"/>
        </w:sectPr>
      </w:pPr>
    </w:p>
    <w:bookmarkStart w:id="56" w:name="page57"/>
    <w:bookmarkEnd w:id="5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займа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предусматривается установление периода охлаждения для получения денежных средств клиентом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Мошенники зачастую имитируют ситуации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требующие скорейшего решения от своей жертвы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дополнительная пауза в передаче денежных средств позволит клиенту внимательнее проанализировать ситуацию и свои действия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регулировании должен появиться еще один дополнительный способ защиты для граждан своих денежных средств от мошенников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назначение уполномоченного гражданином лица для подтверждения распоряжений указанными средствами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сможет определить совместно с кредитной организацией перечень операций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совершение которых потребует от банка получения подтверждения от уполномоченного клиентом лица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Таким образом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уполномоченное лицо сможет не подтвердить операцию при наличии подозрений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получателями средств могут являться мошенники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294" w:lineRule="auto"/>
        <w:tabs>
          <w:tab w:leader="none" w:pos="201" w:val="left"/>
        </w:tabs>
        <w:numPr>
          <w:ilvl w:val="0"/>
          <w:numId w:val="21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формирования кредиторами актуальных выводов о портрете заемщика предполагается законодательно закрепить механизм обмена оперативной информацией по обращениям за кредитом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отказам по обращениям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заключению договоров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выдачам денежных средств в режиме времени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близком к реальному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посредством использования инфраструктуры бюро кредитных историй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противодействия нелегальной деятельности Банк России на регулярной основе проводит работу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направленную на прекращение деятельности нелегальных субъектов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дальнейшее участие Банка России в поддержании и развитии функционирования единой системы противодействия нелегальной деятельности на финансовом рынке Российской Федерации на основе действующего межведомственного плана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включающего комплекс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систематизацию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активизацию и структурирование работы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500" w:hanging="6"/>
        <w:spacing w:after="0" w:line="294" w:lineRule="auto"/>
        <w:tabs>
          <w:tab w:leader="none" w:pos="174" w:val="left"/>
        </w:tabs>
        <w:numPr>
          <w:ilvl w:val="0"/>
          <w:numId w:val="22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этой сфере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Одновременно необходимо учитывать роль самих потребителей финансовых услуг в противодействии нелегальной деятельности и мошенникам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уровень их финансовой осмотрительности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его повышения важно своевременно уведомлять потребителей о возможных нелегальных поставщиках финансовых услуг и повышать степень взаимодействия с потребителями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Продолжится работа по оперативному выявлению с использованием современных средств автоматизации компаний и проектов с признаками финансовых пирамид и нелегальной деятельности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Интернете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инициированию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ограничение доступа к ресурсам нелегальных поставщиков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Реализации данной задачи будет в том числе способствовать введенный запрет публичной деятельности любых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направленной на привлечение инвестиций физических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исключением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имеющих законодательное разрешение на такую деятельность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обеспечения кибербезопасности в финансовом секторе Банк России разработает меры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повышение качества и защищенности предоставляемых финансовыми организациями сервисов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обеспечен комплексный подход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 совершенствования методологии анализа защищенности сервисов и их тестирования до внедрения процедур безопасности на этапе введения сервисов в эксплуатацию или на этапе их модернизации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в сотрудничестве с Правительством Российской Федерации продолжит разработку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информационных и обучающих материалов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курсов по финансовой киберграмотности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практико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ориентированное обучение по информационной безопасности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различных категорий слушателей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Работа по оперативному выявлению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пресечению и предупреждению преступлений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финансовом рынке требует дальнейшего улучшения механизмов взаимодействия Банка России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307" w:lineRule="auto"/>
        <w:tabs>
          <w:tab w:leader="none" w:pos="166" w:val="left"/>
        </w:tabs>
        <w:numPr>
          <w:ilvl w:val="0"/>
          <w:numId w:val="22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правоохранительными органами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части форматов передаваемой регулятором информации по выявленным правонарушениям на финансовом рынке и его участия в проводимых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28" w:gutter="0" w:footer="0" w:header="0"/>
        </w:sectPr>
      </w:pPr>
    </w:p>
    <w:bookmarkStart w:id="57" w:name="page58"/>
    <w:bookmarkEnd w:id="5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54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правоохранительными органами проверках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Этому будут способствовать совместные тематические учебные мероприятия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обмен опытом и постоянное рабочее взаимодействие для обсуждения актуальных вопросов с представителями правоохранительных органов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разработка методических рекомендаций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совершенствование межведомственных соглашений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301" w:lineRule="auto"/>
        <w:tabs>
          <w:tab w:leader="none" w:pos="186" w:val="left"/>
        </w:tabs>
        <w:numPr>
          <w:ilvl w:val="0"/>
          <w:numId w:val="22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иных организационно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распорядительных документов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особенно важно в условиях быстрого появления новых видов мошенничества и киберпреступности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96" w:lineRule="auto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Более подробно ключевые цели и задачи развития информационной безопасности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сферы представлены в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Основных направлениях развития информационной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3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безопасности кредитно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-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финансовой сферы на период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2023 – 2025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годов</w:t>
        </w:r>
        <w:r>
          <w:rPr>
            <w:rFonts w:ascii="Arial" w:cs="Arial" w:eastAsia="Arial" w:hAnsi="Arial"/>
            <w:sz w:val="20"/>
            <w:szCs w:val="20"/>
            <w:color w:val="000000"/>
          </w:rPr>
          <w:t>.</w:t>
        </w:r>
      </w:hyperlink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jc w:val="both"/>
        <w:ind w:left="6" w:right="180"/>
        <w:spacing w:after="0" w:line="24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3.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Повышение финансовой и инвестиционной грамотности</w:t>
      </w:r>
      <w:r>
        <w:rPr>
          <w:rFonts w:ascii="Arial" w:cs="Arial" w:eastAsia="Arial" w:hAnsi="Arial"/>
          <w:sz w:val="24"/>
          <w:szCs w:val="24"/>
          <w:color w:val="006391"/>
        </w:rPr>
        <w:t>,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финансовой киберграмотности</w:t>
      </w:r>
      <w:r>
        <w:rPr>
          <w:rFonts w:ascii="Arial" w:cs="Arial" w:eastAsia="Arial" w:hAnsi="Arial"/>
          <w:sz w:val="24"/>
          <w:szCs w:val="24"/>
          <w:color w:val="006391"/>
        </w:rPr>
        <w:t>,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формирование основ финансовой культуры и рационального поведения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Ключевая задача Банка России в вопросах повышения финансовой грамотности и развития финансовой культуры заключается в обеспечении формирования у граждан Российской Федерации ключевых элементов финансовой культуры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ценностей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установок и поведенческих практик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будут способствовать финансовому благополучию человека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семьи и общества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5" w:lineRule="auto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Основные приоритеты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цели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задачи и инструменты работы в этой сфере обозначены в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Стратегии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3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повышения финансовой грамотности и формирования финансовой культуры до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2030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года</w:t>
        </w:r>
      </w:hyperlink>
      <w:r>
        <w:rPr>
          <w:rFonts w:ascii="Arial" w:cs="Arial" w:eastAsia="Arial" w:hAnsi="Arial"/>
          <w:sz w:val="11"/>
          <w:szCs w:val="11"/>
          <w:color w:val="000000"/>
        </w:rPr>
        <w:t>56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рамках этой Стратегии работа будет проводиться по следующим направлениям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финансовое просвещение взрослого экономически активного человека с учетом потребностей на разных стадиях его жизни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Взрослые работающие граждане являются основными потребителями финансовых услуг и драйверами для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их финансовые решения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об инвестировании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тратах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кредитовании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оказывают значительное влияние на экономику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Работа с этой аудиторией будет выстраиваться через трудовые коллективы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систему корпоративного обучения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задействован потенциал креативных индустрий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 внедрение установок финансово грамотного поведения через систему образования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6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0"/>
        <w:spacing w:after="0" w:line="293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Учитывая принятие ФГОС с элементами финансовой грамотности на всех уровнях образования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следующим этапом будет выстраивание системы оценки качества преподавания финансовой грамотности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определения уровня финансовой грамотности обучающихся на разных уровнях образования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Банк России продолжит актуализацию и подготовку методических и учебных материалов по финансовой грамотности для всех уровней образования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создание отдельного курса по финансовой грамотности для размещения в библиотеке образовательной платформы ФГИС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Моя школа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Отдельное внимание будет уделяться подготовке адаптированных материалов по финансовой грамотности для наиболее уязвимых групп населения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таких как дети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сироты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оставшиеся без попечения родителей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обучающиеся с ограниченными возможностями здоровья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совместную работу с Минфином России и Минпросвещения России по подготовке педагогических кадров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292" w:lineRule="auto"/>
        <w:tabs>
          <w:tab w:leader="none" w:pos="197" w:val="left"/>
        </w:tabs>
        <w:numPr>
          <w:ilvl w:val="0"/>
          <w:numId w:val="2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связи со значительным ростом интереса частных инвесторов к инвестициям на рынке капитала важным направлением работы является повышение инвестиционной грамотности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Здесь актуальным становится продвижение базовых установок правильного поведения при инвестировании средств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использовании цифровых технологий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обеспечении личной финансовой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установок на разумное отношение</w:t>
      </w:r>
    </w:p>
    <w:p>
      <w:pPr>
        <w:ind w:left="6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 риску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умений выбрать подходящую инвестиционную стратегию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через использование коллективных инвестиций как менее рискованного способа выхода на рынок капитала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81280</wp:posOffset>
                </wp:positionV>
                <wp:extent cx="1259840" cy="0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2" o:spid="_x0000_s10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6.4pt" to="99.2pt,6.4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</w:sectPr>
      </w:pPr>
    </w:p>
    <w:p>
      <w:pPr>
        <w:spacing w:after="0" w:line="265" w:lineRule="exact"/>
        <w:rPr>
          <w:sz w:val="20"/>
          <w:szCs w:val="20"/>
          <w:color w:val="auto"/>
        </w:rPr>
      </w:pPr>
    </w:p>
    <w:p>
      <w:pPr>
        <w:ind w:left="166" w:right="420" w:hanging="166"/>
        <w:spacing w:after="0" w:line="190" w:lineRule="exact"/>
        <w:tabs>
          <w:tab w:leader="none" w:pos="171" w:val="left"/>
        </w:tabs>
        <w:numPr>
          <w:ilvl w:val="0"/>
          <w:numId w:val="22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Одобрена Советом директоров Банка России и утверждена распоряжением Правительства Российской Федерации от 25.10.2023 № 2958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р.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  <w:type w:val="continuous"/>
        </w:sectPr>
      </w:pPr>
    </w:p>
    <w:bookmarkStart w:id="58" w:name="page59"/>
    <w:bookmarkEnd w:id="5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неквалифицированных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улучшение качества информирования и консультирования граждан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улучшение умений ориентироваться в информационной среде и использовать достоверные источники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Одна из задач в этом направлении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содействие развитию аккредитации обучающих курсов для инвесторов на базе Ассоциации развития финансовой грамотности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способствующих осознанному использованию инвестиционных продуктов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4" w:lineRule="auto"/>
        <w:tabs>
          <w:tab w:leader="none" w:pos="197" w:val="left"/>
        </w:tabs>
        <w:numPr>
          <w:ilvl w:val="0"/>
          <w:numId w:val="22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формирования рационального финансового поведения различных категорий граждан запланировано их просвещение и информирование по актуальным финансовым темам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через создание специализированных программ и курсов по актуальным финансовым темам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цифровую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инвестиционную и финансовую грамотность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особенностей жизненного цикла человека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Отдельное внимание будет уделено вопросам формирования у граждан понимания условий личного банкротства и его последствий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00" w:hanging="6"/>
        <w:spacing w:after="0" w:line="292" w:lineRule="auto"/>
        <w:tabs>
          <w:tab w:leader="none" w:pos="197" w:val="left"/>
        </w:tabs>
        <w:numPr>
          <w:ilvl w:val="0"/>
          <w:numId w:val="22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обеспечения возможности безопасного получения финансовых услуг Банк России планирует уделять особое внимание формированию и продвижению базовых навыков и установок по финансовой киберграмотности и кибергигиене среди социально уязвимых категорий населения</w:t>
      </w:r>
    </w:p>
    <w:p>
      <w:pPr>
        <w:ind w:left="6" w:right="260"/>
        <w:spacing w:after="0" w:line="29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граждане с низким уровнем дохода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пенсионеры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дети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сироты и дети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оставшиеся без попечения родителей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люди с инвалидностью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анализа поведенческого опыта получателей финансовых услуг будут актуализированы и при необходимости нормативно закреплены новые подходы к доведению до клиентов информации о возможных рисках несанкционированного доступа к личным и финансовым данным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совершении мошеннических операций с использованием методов социальной инженерии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развивать следующие направления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развитие системы обратной связи и обеспечение непрерывного информирования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потребителей по актуальным вопросам и изменениям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содействие повышению доверия граждан к рынку капитала за счет обеспечения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их достоверной информацией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достаточной для принятия грамотных финансовых решений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развитие волонтерского движения в сфере финансовой грамотности и финансовой культуры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92" w:lineRule="auto"/>
        <w:tabs>
          <w:tab w:leader="none" w:pos="170" w:val="left"/>
        </w:tabs>
        <w:numPr>
          <w:ilvl w:val="0"/>
          <w:numId w:val="22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том числе через вовлечение бизнеса в волонтерскую деятельность и развитие ресурсных центров волонтеров финансового просвещения при участии Ассоциации развития финансовой грамотности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популяризация идей финансовой грамотности и финансовой культуры среди представителей</w:t>
      </w:r>
    </w:p>
    <w:p>
      <w:pPr>
        <w:ind w:left="6" w:right="780"/>
        <w:spacing w:after="0" w:line="290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гражданского общества и некоммерческих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содействие адаптации малого и среднего бизнеса к изменениям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информирование о существующих инструментах финансирования и развития бизнеса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системы управления программами повышения финансовой грамотности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на федеральном и региональном уровнях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760"/>
        <w:spacing w:after="0" w:line="29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международного сотрудничества в сфере повышения финансовой грамотности и формирования финансовой культуры населения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вовлечение научного и исследовательского сообщества с целью учета поведенческих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психологических аспектов в вопросах формирования финансовой культуры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Одновременно будет идти адаптация потребителей к новым технологическим решениям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искусственному интеллекту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робоэдвайзерам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</w:t>
      </w:r>
      <w:r>
        <w:rPr>
          <w:rFonts w:ascii="Arial" w:cs="Arial" w:eastAsia="Arial" w:hAnsi="Arial"/>
          <w:sz w:val="20"/>
          <w:szCs w:val="20"/>
          <w:color w:val="auto"/>
        </w:rPr>
        <w:t>2</w:t>
      </w:r>
      <w:r>
        <w:rPr>
          <w:rFonts w:ascii="Arial" w:cs="Arial" w:eastAsia="Arial" w:hAnsi="Arial"/>
          <w:sz w:val="20"/>
          <w:szCs w:val="20"/>
          <w:color w:val="auto"/>
        </w:rPr>
        <w:t>М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М</w:t>
      </w:r>
      <w:r>
        <w:rPr>
          <w:rFonts w:ascii="Arial" w:cs="Arial" w:eastAsia="Arial" w:hAnsi="Arial"/>
          <w:sz w:val="20"/>
          <w:szCs w:val="20"/>
          <w:color w:val="auto"/>
        </w:rPr>
        <w:t>2</w:t>
      </w:r>
      <w:r>
        <w:rPr>
          <w:rFonts w:ascii="Arial" w:cs="Arial" w:eastAsia="Arial" w:hAnsi="Arial"/>
          <w:sz w:val="20"/>
          <w:szCs w:val="20"/>
          <w:color w:val="auto"/>
        </w:rPr>
        <w:t>В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технологиям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маркетплейсам и иным платформенным и экосистемным решениям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внедряемым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целью определения уровня финансовой грамотности Банк России проводит исследования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299" w:lineRule="auto"/>
        <w:tabs>
          <w:tab w:leader="none" w:pos="157" w:val="left"/>
        </w:tabs>
        <w:numPr>
          <w:ilvl w:val="0"/>
          <w:numId w:val="2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области финансовой грамотности и финансовой культуры населения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результаты которых используются в том числе для выстраивания и корректировки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при необходимости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дальнейшей работы по финансовой грамотности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796" w:gutter="0" w:footer="0" w:header="0"/>
        </w:sectPr>
      </w:pPr>
    </w:p>
    <w:bookmarkStart w:id="59" w:name="page60"/>
    <w:bookmarkEnd w:id="5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56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4" w:lineRule="auto"/>
        <w:tabs>
          <w:tab w:leader="none" w:pos="197" w:val="left"/>
        </w:tabs>
        <w:numPr>
          <w:ilvl w:val="0"/>
          <w:numId w:val="2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условиях ускоренного внедрения новых технологий в экономике и на финансовом рынке повышается запрос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работодателей и работников на постоянную актуализацию знаний и умений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Система образования должна обеспечить не только первичную подготовку специалистов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непрерывное повышение квалификации кадров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необходимых для функционирования и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одной из важных задач в области образования является совместная с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бизнесом и образовательными организациями деятельность по подготовке кадров для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работу в сфере развития квалификаций специалистов финансовой отрасли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293" w:lineRule="auto"/>
        <w:tabs>
          <w:tab w:leader="none" w:pos="197" w:val="left"/>
        </w:tabs>
        <w:numPr>
          <w:ilvl w:val="0"/>
          <w:numId w:val="2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этих целях Банк России интегрирует собственные образовательные инициативы в программы подготовки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реализуемые образовательными организациями высшего образования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продолжит принимать участие в работе коллегиальных органов национальной системы квалификаций и проводить исследования рынка труда и комплексный анализ мнений организаций финансовой отрасли о качестве подготовки кадров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организует экспертные площадки по обсуждению совершенствования модели подготовки кадров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окажет содействие построению эффективной системы взаимодействия системы образования и работодателей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развития систем подготовки кадров в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сфере Банк России ежегодно проводит обследование кадровой потребности организаций финансовой сферы в специалистах по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4.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Повышение доступности качественных финансовых услуг для граждан</w:t>
      </w:r>
      <w:r>
        <w:rPr>
          <w:rFonts w:ascii="Arial" w:cs="Arial" w:eastAsia="Arial" w:hAnsi="Arial"/>
          <w:sz w:val="24"/>
          <w:szCs w:val="24"/>
          <w:color w:val="006391"/>
        </w:rPr>
        <w:t>,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малого и среднего бизнеса</w:t>
      </w:r>
      <w:r>
        <w:rPr>
          <w:rFonts w:ascii="Arial" w:cs="Arial" w:eastAsia="Arial" w:hAnsi="Arial"/>
          <w:sz w:val="24"/>
          <w:szCs w:val="24"/>
          <w:color w:val="006391"/>
        </w:rPr>
        <w:t>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Обеспечение инклюзивности финансового рынка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jc w:val="both"/>
        <w:ind w:left="6" w:right="8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его цифровизации и реализация мер в области финансовой доступности вывели доступность финансовых услуг в России на достаточно высокий уровень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jc w:val="both"/>
        <w:ind w:left="6" w:right="860" w:hanging="6"/>
        <w:spacing w:after="0" w:line="292" w:lineRule="auto"/>
        <w:tabs>
          <w:tab w:leader="none" w:pos="201" w:val="left"/>
        </w:tabs>
        <w:numPr>
          <w:ilvl w:val="0"/>
          <w:numId w:val="2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создания благоприятных условий для обеспечения потребителей качественными финансовыми услугами с особым фокусом на уязвимые группы населения и приоритетные направления бизнеса Банк России сконцентрируется на следующих задачах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ind w:left="6" w:right="36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создание условий для предложения рынком потребителю качественных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улучшения финансового самочувствия как результата финансовой доступности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содействие осознанному выбору потребителя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физической и ассортиментной доступности финансовых услуг для населения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720"/>
        <w:spacing w:after="0" w:line="29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бизнеса через развитие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каналов обслуживания при снижении рисков цифрового неравенства и усилении кибербезопасности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8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инклюзивности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безусловным приоритетом интересов уязвимых групп населения и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испытывающих трудности в получении доступа к финансовым услугам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 расширение возможностей привлечения долгового и долевого финансирования бизнесом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Возможность быстрого и безопасного доступа к качественной услуге в любое время в любом месте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то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должен иметь потребитель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 же время важно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были созданы условия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позволяющие потребителю чувствовать уверенность в своем финансовом будущем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выполнять свои текущие и будущие финансовые обязательства и иметь возможность принимать финансовые решения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способствующие улучшению его финансового самочувствия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помимо обеспечения доступа к финансовым услугам и инклюзивности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основное внимание планирует уделять созданию условий для предложения рынком потребителям качественных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удовлетворяющих их потребности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содействовать осознанному выбору потребителя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743" w:gutter="0" w:footer="0" w:header="0"/>
        </w:sectPr>
      </w:pPr>
    </w:p>
    <w:bookmarkStart w:id="60" w:name="page61"/>
    <w:bookmarkEnd w:id="6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6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повышения клиентоцентричности деятельности финансового рынка Банк России будет способствовать установлению правил для внедрения Принципов управления финансовым продуктом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(Product Governance).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 взаимодействии с поднадзорными субъектами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СРО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4" w:lineRule="auto"/>
        <w:tabs>
          <w:tab w:leader="none" w:pos="186" w:val="left"/>
        </w:tabs>
        <w:numPr>
          <w:ilvl w:val="0"/>
          <w:numId w:val="2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ассоциациями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союзами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применения Методических рекомендаций</w:t>
      </w:r>
      <w:r>
        <w:rPr>
          <w:rFonts w:ascii="Arial" w:cs="Arial" w:eastAsia="Arial" w:hAnsi="Arial"/>
          <w:sz w:val="11"/>
          <w:szCs w:val="11"/>
          <w:color w:val="auto"/>
        </w:rPr>
        <w:t>57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включение в стандарты деятельности положений по управлению продуктом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стимулировать развитие системного подхода в управлении финансовыми продуктами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позволит разрабатывать продукты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соответствующие ожиданиям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обеспечит их прозрачность и понятность для потребителя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инструментов долгосрочных сбережений и инвестиций для граждан и содействие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их сберегательной активности населения</w:t>
      </w:r>
      <w:r>
        <w:rPr>
          <w:rFonts w:ascii="Arial" w:cs="Arial" w:eastAsia="Arial" w:hAnsi="Arial"/>
          <w:sz w:val="11"/>
          <w:szCs w:val="11"/>
          <w:color w:val="auto"/>
        </w:rPr>
        <w:t>58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также содействовать улучшению финансового самочувствия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580" w:hanging="6"/>
        <w:spacing w:after="0" w:line="293" w:lineRule="auto"/>
        <w:tabs>
          <w:tab w:leader="none" w:pos="201" w:val="left"/>
        </w:tabs>
        <w:numPr>
          <w:ilvl w:val="0"/>
          <w:numId w:val="23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ближайшие годы ключевым акцентом в деятельности Банка России будет оставаться повышение доступности финансовых продуктов и услуг в цифровом виде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Продолжится проведение анализа барьеров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препятствующих активному использованию гражданами и бизнесом дистанционных форматов обслуживания для получения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принимать меры по их устранению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удобство и скорость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обеспеченные дистанционными каналами обслуживания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должны сопровождаться надежной защитой персональных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обеспечением кибербезопасности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соблюдением прав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переходе к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каналам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предполагающим непосредственной коммуникации человека с человеком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обеспечить интересы тех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по разным причинам не могут или не готовы использовать такую форму взаимодействия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295" w:lineRule="auto"/>
        <w:tabs>
          <w:tab w:leader="none" w:pos="177" w:val="left"/>
        </w:tabs>
        <w:numPr>
          <w:ilvl w:val="0"/>
          <w:numId w:val="2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поставщиками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важно учитывать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вопросы повышения финансовой доступности могут иметь свою специфику в различных регионах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учитывать ее географические и территориальные особенности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глубину проникновения мобильных устройств и дистанционных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ментальную готовность населения к работе в цифровой среде и другие факторы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даже при широком использовании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каналов обслуживания должна сохраняться возможность очного взаимодействия с сотрудниками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проводит мониторинг групп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находиться в зоне риска цифрового неравенства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особенно учитывая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Интернет еще не покрывает все населенные территории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сервисы требуют адаптации для использования отдельными категориями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Особое внимание будет уделено вопросам обеспечения инклюзивности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имеющим высокую социальную значимость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доступа к финансовым услугам для жителей отдаленных и малонаселенных территорий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создание безбарьерной финансовой среды для людей с инвалидностью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пожилых и маломобильных групп населения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7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Несмотря на значительный прогресс в обеспечении доступности и стимулировании использования дистанционных каналов обслуживания в сельской местности и на отдаленных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малонаселенных и труднодоступных территориях</w:t>
      </w:r>
      <w:r>
        <w:rPr>
          <w:rFonts w:ascii="Arial" w:cs="Arial" w:eastAsia="Arial" w:hAnsi="Arial"/>
          <w:sz w:val="11"/>
          <w:szCs w:val="11"/>
          <w:color w:val="auto"/>
        </w:rPr>
        <w:t>59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ближайшие годы работа будет сконцентрирована на сохранении в них достаточной инфраструктуры точек физического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184785</wp:posOffset>
                </wp:positionV>
                <wp:extent cx="1259840" cy="0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3" o:spid="_x0000_s10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4.55pt" to="99.2pt,14.5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146" w:hanging="146"/>
        <w:spacing w:after="0" w:line="184" w:lineRule="exact"/>
        <w:tabs>
          <w:tab w:leader="none" w:pos="146" w:val="left"/>
        </w:tabs>
        <w:numPr>
          <w:ilvl w:val="0"/>
          <w:numId w:val="23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Методические рекомендации по управлению финансовым продуктом от 27.12.2023 № 19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МР.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20" w:hanging="166"/>
        <w:spacing w:after="0" w:line="252" w:lineRule="auto"/>
        <w:tabs>
          <w:tab w:leader="none" w:pos="167" w:val="left"/>
        </w:tabs>
        <w:numPr>
          <w:ilvl w:val="0"/>
          <w:numId w:val="23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см.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задачу 1 «Развитие инструментов долгосрочных сбережений и инвестиций для граждан» направления 3.1 «Создание условий для усиления роли финансового рынка в финансировании трансформации экономики при сохранении устойчивости финансового сектора»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pacing w:after="0" w:line="87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320" w:hanging="146"/>
        <w:spacing w:after="0" w:line="252" w:lineRule="auto"/>
        <w:tabs>
          <w:tab w:leader="none" w:pos="152" w:val="left"/>
        </w:tabs>
        <w:numPr>
          <w:ilvl w:val="0"/>
          <w:numId w:val="235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hyperlink r:id="rId33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Опросные данные Банка России</w:t>
        </w:r>
        <w:r>
          <w:rPr>
            <w:rFonts w:ascii="Arial" w:cs="Arial" w:eastAsia="Arial" w:hAnsi="Arial"/>
            <w:sz w:val="16"/>
            <w:szCs w:val="16"/>
            <w:color w:val="000000"/>
          </w:rPr>
          <w:t xml:space="preserve"> 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показывают, что за период с 2021 по 2024 год сельские жители и жители малых городов (до 50 тыс. человек) почти закрыли разрыв (+4,3 п.п., до 75,9%) со среднероссийским значением показателя использования дистанционного доступа к банковским счетам для переводов (76,6% по России).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bookmarkStart w:id="61" w:name="page62"/>
    <w:bookmarkEnd w:id="6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58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обслуживания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Приоритет уделяется развитию облегченных форматов присутствия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доступности отдельных видов услуг в торгово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сервисных предприятиях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выдача и прием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наличных по операциям с платежными картами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прием платежей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отдельные платежные операции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без открытия счета или электронного кошелька</w:t>
      </w:r>
      <w:r>
        <w:rPr>
          <w:rFonts w:ascii="Arial" w:cs="Arial" w:eastAsia="Arial" w:hAnsi="Arial"/>
          <w:sz w:val="20"/>
          <w:szCs w:val="20"/>
          <w:color w:val="auto"/>
        </w:rPr>
        <w:t>);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расширению охвата обслуживания мобильными офисами с многофункциональными банкоматами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выездными работниками кредитных организаций с мобильными техническими устройствами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оказывающими расширенный ассортимент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точками обслуживания банковских платежных агентов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возможностью выдачи наличных денежных средств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8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Наряду с активной вовлеченностью региональных отделений Банка России при решении задач по повышению финансовой доступности на отдаленных и малонаселенных территориях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140" w:hanging="6"/>
        <w:spacing w:after="0" w:line="293" w:lineRule="auto"/>
        <w:tabs>
          <w:tab w:leader="none" w:pos="174" w:val="left"/>
        </w:tabs>
        <w:numPr>
          <w:ilvl w:val="0"/>
          <w:numId w:val="2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2025 – 2027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годах планируется особенно сфокусироваться на повышении вовлеченности региональных органов власти и администраций муниципальных образований в реализацию региональных мероприятий по повышению доступности финансовых услуг в сельской местности и на отдаленных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малонаселенных и труднодоступных территориях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Такие мероприятия будут реализовываться совместно с кредитными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операторами связи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депутатами Государственной Думы от регионов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входящими в состав соответствующих региональных рабочих групп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координируемых территориальными учреждениями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 плотному диалогу и проработке точечных проблем на территориях будет в том числе способствовать формирование прозрачной аналитической информации о состоянии инфраструктурной доступности финансовых услуг в населенных пунктах</w:t>
      </w:r>
      <w:r>
        <w:rPr>
          <w:rFonts w:ascii="Arial" w:cs="Arial" w:eastAsia="Arial" w:hAnsi="Arial"/>
          <w:sz w:val="11"/>
          <w:szCs w:val="11"/>
          <w:color w:val="auto"/>
        </w:rPr>
        <w:t>60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8" w:lineRule="exact"/>
        <w:rPr>
          <w:sz w:val="20"/>
          <w:szCs w:val="20"/>
          <w:color w:val="auto"/>
        </w:rPr>
      </w:pPr>
    </w:p>
    <w:p>
      <w:pPr>
        <w:ind w:left="6" w:right="720"/>
        <w:spacing w:after="0" w:line="28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Переход к дистанционным форматам обслуживания ставит новые задачи по созданию условий для безопасного доступа к качественным финансовым продуктам и услугам людей</w:t>
      </w:r>
    </w:p>
    <w:p>
      <w:pPr>
        <w:ind w:left="6" w:right="280" w:hanging="6"/>
        <w:spacing w:after="0" w:line="295" w:lineRule="auto"/>
        <w:tabs>
          <w:tab w:leader="none" w:pos="166" w:val="left"/>
        </w:tabs>
        <w:numPr>
          <w:ilvl w:val="0"/>
          <w:numId w:val="23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особыми потребностями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людей с инвалидностью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пожилых и маломобильных групп населения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на основе обратной связи от участников рынка и общественных организаций готовит рекомендации для финансовых организаций по созданию безбарьерной среды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повышению качества их взаимодействия с указанными группами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адаптацию каналов доступа к дистанционным финансовым услугам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интерфейсов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приложений и сервисов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традиционного фокуса на финансовую доступность для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уделять значительное внимание доступности качественных финансовых сервисов для индивидуальных предпринимателей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малого и среднего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отвечающих потребностям технологического развития и трансформации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развитие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ориентированного банковского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направленного на более точную оценку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повышает привлекательность кредитования субъектов МСП для банков и обеспечивает более эффективное использование мер государственной поддержки финансирования субъектов МСП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поддержки бизнеса Банк России также прорабатывает возможность введения постоянно действующего механизма кредитных каникул для субъектов МСП и самозанятых граждан</w:t>
      </w:r>
      <w:r>
        <w:rPr>
          <w:rFonts w:ascii="Arial" w:cs="Arial" w:eastAsia="Arial" w:hAnsi="Arial"/>
          <w:sz w:val="11"/>
          <w:szCs w:val="11"/>
          <w:color w:val="auto"/>
        </w:rPr>
        <w:t>61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660" w:hanging="6"/>
        <w:spacing w:after="0" w:line="299" w:lineRule="auto"/>
        <w:tabs>
          <w:tab w:leader="none" w:pos="201" w:val="left"/>
        </w:tabs>
        <w:numPr>
          <w:ilvl w:val="0"/>
          <w:numId w:val="23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фокусе внимания остается задача по дальнейшему развитию небанковских инструментов финансирования для субъектов МСП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расширение доступа МСП к финансовым ресурсам посредством фондового рынка и с помощью краудфандинговых платформ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93980</wp:posOffset>
                </wp:positionV>
                <wp:extent cx="1259840" cy="0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4" o:spid="_x0000_s10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7.4pt" to="99.2pt,7.4pt" o:allowincell="f" strokecolor="#000000" strokeweight="0.25pt"/>
            </w:pict>
          </mc:Fallback>
        </mc:AlternateContent>
      </w:r>
    </w:p>
    <w:p>
      <w:pPr>
        <w:spacing w:after="0" w:line="265" w:lineRule="exact"/>
        <w:rPr>
          <w:sz w:val="20"/>
          <w:szCs w:val="20"/>
          <w:color w:val="auto"/>
        </w:rPr>
      </w:pPr>
    </w:p>
    <w:p>
      <w:pPr>
        <w:ind w:left="166" w:right="620" w:hanging="166"/>
        <w:spacing w:after="0" w:line="254" w:lineRule="auto"/>
        <w:tabs>
          <w:tab w:leader="none" w:pos="173" w:val="left"/>
        </w:tabs>
        <w:numPr>
          <w:ilvl w:val="0"/>
          <w:numId w:val="239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r>
        <w:rPr>
          <w:rFonts w:ascii="Arial" w:cs="Arial" w:eastAsia="Arial" w:hAnsi="Arial"/>
          <w:sz w:val="16"/>
          <w:szCs w:val="16"/>
          <w:color w:val="auto"/>
        </w:rPr>
        <w:t>Сводные результаты публикуются Банком России ежегодно начиная с 2022 года: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34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по итогам 2022 года, по итогам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34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2023 года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pacing w:after="0" w:line="86" w:lineRule="exact"/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239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Законопроект № 684400-8 внесен в Государственную Думу 30.07.2024.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62" w:name="page63"/>
    <w:bookmarkEnd w:id="6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292" w:lineRule="auto"/>
        <w:tabs>
          <w:tab w:leader="none" w:pos="177" w:val="left"/>
        </w:tabs>
        <w:numPr>
          <w:ilvl w:val="0"/>
          <w:numId w:val="24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использованием мер поддержки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предусмотренных национальным проектом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Малое и среднее предпринимательство и поддержка индивидуальной предпринимательской инициативы</w:t>
      </w:r>
      <w:r>
        <w:rPr>
          <w:rFonts w:ascii="Arial" w:cs="Arial" w:eastAsia="Arial" w:hAnsi="Arial"/>
          <w:sz w:val="20"/>
          <w:szCs w:val="20"/>
          <w:color w:val="auto"/>
        </w:rPr>
        <w:t>»),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инструментов долевого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утилитарных цифровых прав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УЦП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ind w:left="6" w:right="240"/>
        <w:spacing w:after="0" w:line="29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ЦФА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привлечение средств с использованием финансовых платформ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факторинга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лизинга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микрофинансирования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сфокусироваться на формировании оптимальной системы инструментов привлечения финансирования субъектами МСП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находящимися на разных стадиях развития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которых предполагается в рамках национального проекта </w:t>
      </w: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Эффективная и конкурентная экономика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11"/>
          <w:szCs w:val="11"/>
          <w:color w:val="auto"/>
        </w:rPr>
        <w:t>62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развитии долевого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продлении и оптимизации существующих мер государственной поддержки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национальной цифровой инфраструктуры является основной движущей силой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повышения доступности финансовых продуктов и услуг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сокращения их затрат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увеличения скорости и удобства взаимодействия с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развития конкуренции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Важную роль в повышении доступности финансовых продуктов и услуг для субъектов МСП должно сыграть внедрение и развитие инфраструктурных решений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развитие расширит спектр предложений для субъектов МСП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повысит ценовую доступность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снимет территориальные ограничения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 широкое использование гражданами СБП для оплаты товаров и услуг субъектов МСП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использованием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позволит существенно снизить издержки бизнеса на платежные услуги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Способствовать снижению затрат субъектов МСП также должна реализация Банком России таких проектов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Цифровой профиль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ЕБС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платформа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Знай своего клиента</w:t>
      </w:r>
      <w:r>
        <w:rPr>
          <w:rFonts w:ascii="Arial" w:cs="Arial" w:eastAsia="Arial" w:hAnsi="Arial"/>
          <w:sz w:val="20"/>
          <w:szCs w:val="20"/>
          <w:color w:val="auto"/>
        </w:rPr>
        <w:t>» (</w:t>
      </w:r>
      <w:r>
        <w:rPr>
          <w:rFonts w:ascii="Arial" w:cs="Arial" w:eastAsia="Arial" w:hAnsi="Arial"/>
          <w:sz w:val="20"/>
          <w:szCs w:val="20"/>
          <w:color w:val="auto"/>
        </w:rPr>
        <w:t>ЗСК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63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Один из ключевых инновационных проектов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 «</w:t>
      </w:r>
      <w:r>
        <w:rPr>
          <w:rFonts w:ascii="Arial" w:cs="Arial" w:eastAsia="Arial" w:hAnsi="Arial"/>
          <w:sz w:val="20"/>
          <w:szCs w:val="20"/>
          <w:color w:val="auto"/>
        </w:rPr>
        <w:t>Цифровой рубль</w:t>
      </w:r>
      <w:r>
        <w:rPr>
          <w:rFonts w:ascii="Arial" w:cs="Arial" w:eastAsia="Arial" w:hAnsi="Arial"/>
          <w:sz w:val="20"/>
          <w:szCs w:val="20"/>
          <w:color w:val="auto"/>
        </w:rPr>
        <w:t>»,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позволит автоматизировать контроль и проведение расчетов по договорам с помощью смарт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контрактов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должно повысить безопасность сделок и снизить риски неплатежей для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операции с цифровым рублем будут проходить по единым тарифам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также позволит снизить издержки на их проведение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8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Повышению потенциала притока ресурсов через финансовые платформы будет способствовать создание правовых условий для использования финансовых платформ юридическими лицами</w:t>
      </w:r>
    </w:p>
    <w:p>
      <w:pPr>
        <w:ind w:left="6" w:right="480" w:hanging="6"/>
        <w:spacing w:after="0" w:line="297" w:lineRule="auto"/>
        <w:tabs>
          <w:tab w:leader="none" w:pos="173" w:val="left"/>
        </w:tabs>
        <w:numPr>
          <w:ilvl w:val="0"/>
          <w:numId w:val="24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индивидуальными предпринимателями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запуск новых продуктов на финансовых платформах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в области НПО и ПДС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осведомленности об имеющихся и новых продуктах и сервисах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стимулирование роста присутствия региональных финансовых организаций на финансовых платформах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10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Подробнее цели и задачи Банка России в области повышения финансовой доступности отражены в документах среднесрочного планирования Банка России</w:t>
      </w:r>
      <w:r>
        <w:rPr>
          <w:rFonts w:ascii="Arial" w:cs="Arial" w:eastAsia="Arial" w:hAnsi="Arial"/>
          <w:sz w:val="11"/>
          <w:szCs w:val="11"/>
          <w:color w:val="auto"/>
        </w:rPr>
        <w:t>64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1247775</wp:posOffset>
                </wp:positionV>
                <wp:extent cx="1259840" cy="0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5" o:spid="_x0000_s10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98.25pt" to="99.2pt,98.2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2" w:lineRule="exact"/>
        <w:rPr>
          <w:sz w:val="20"/>
          <w:szCs w:val="20"/>
          <w:color w:val="auto"/>
        </w:rPr>
      </w:pPr>
    </w:p>
    <w:p>
      <w:pPr>
        <w:ind w:left="166" w:right="940" w:hanging="166"/>
        <w:spacing w:after="0" w:line="254" w:lineRule="auto"/>
        <w:tabs>
          <w:tab w:leader="none" w:pos="158" w:val="left"/>
        </w:tabs>
        <w:numPr>
          <w:ilvl w:val="0"/>
          <w:numId w:val="2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Сохраняя преемственность с национальным проектом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«</w:t>
      </w:r>
      <w:r>
        <w:rPr>
          <w:rFonts w:ascii="Arial" w:cs="Arial" w:eastAsia="Arial" w:hAnsi="Arial"/>
          <w:sz w:val="16"/>
          <w:szCs w:val="16"/>
          <w:color w:val="auto"/>
        </w:rPr>
        <w:t>Малое и среднее предпринимательство и поддержка индивидуальной предпринимательской инициативы</w:t>
      </w:r>
      <w:r>
        <w:rPr>
          <w:rFonts w:ascii="Arial" w:cs="Arial" w:eastAsia="Arial" w:hAnsi="Arial"/>
          <w:sz w:val="16"/>
          <w:szCs w:val="16"/>
          <w:color w:val="auto"/>
        </w:rPr>
        <w:t>».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620" w:hanging="146"/>
        <w:spacing w:after="0" w:line="254" w:lineRule="auto"/>
        <w:tabs>
          <w:tab w:leader="none" w:pos="166" w:val="left"/>
        </w:tabs>
        <w:numPr>
          <w:ilvl w:val="0"/>
          <w:numId w:val="2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о цифровых проектах см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направление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3.3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Цифровизация финансового рынка и развитие платежной инфраструктуры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700" w:hanging="166"/>
        <w:spacing w:after="0" w:line="252" w:lineRule="auto"/>
        <w:tabs>
          <w:tab w:leader="none" w:pos="172" w:val="left"/>
        </w:tabs>
        <w:numPr>
          <w:ilvl w:val="0"/>
          <w:numId w:val="242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hyperlink r:id="rId35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Приоритетные направления повышения доступности финансовых услуг в Российской Федерации на период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35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2022 – 2024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годов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36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Основные направления повышения доступности финансовых услуг в Российской Федерации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36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на период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2025 – 2027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годов</w:t>
        </w:r>
        <w:r>
          <w:rPr>
            <w:rFonts w:ascii="Arial" w:cs="Arial" w:eastAsia="Arial" w:hAnsi="Arial"/>
            <w:sz w:val="16"/>
            <w:szCs w:val="16"/>
            <w:color w:val="000000"/>
          </w:rPr>
          <w:t xml:space="preserve"> 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(</w:t>
      </w:r>
      <w:r>
        <w:rPr>
          <w:rFonts w:ascii="Arial" w:cs="Arial" w:eastAsia="Arial" w:hAnsi="Arial"/>
          <w:sz w:val="16"/>
          <w:szCs w:val="16"/>
          <w:color w:val="000000"/>
        </w:rPr>
        <w:t>проект</w:t>
      </w:r>
      <w:r>
        <w:rPr>
          <w:rFonts w:ascii="Arial" w:cs="Arial" w:eastAsia="Arial" w:hAnsi="Arial"/>
          <w:sz w:val="16"/>
          <w:szCs w:val="16"/>
          <w:color w:val="000000"/>
        </w:rPr>
        <w:t>, 2024).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bookmarkStart w:id="63" w:name="page64"/>
    <w:bookmarkEnd w:id="6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4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60</w:t>
            </w: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267" w:lineRule="auto"/>
        <w:tabs>
          <w:tab w:leader="none" w:pos="275" w:val="left"/>
        </w:tabs>
        <w:numPr>
          <w:ilvl w:val="0"/>
          <w:numId w:val="243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3.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Цифровизация финансового рынка и развитие платежной инфраструктуры</w:t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Содействие цифровизации финансового рынка и развитие цифровой и платежной инфраструктуры остаются одними из стратегических приоритетов Банка России</w:t>
      </w:r>
      <w:r>
        <w:rPr>
          <w:rFonts w:ascii="Arial" w:cs="Arial" w:eastAsia="Arial" w:hAnsi="Arial"/>
          <w:sz w:val="11"/>
          <w:szCs w:val="11"/>
          <w:color w:val="auto"/>
        </w:rPr>
        <w:t>65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Внедрение новых технологий и поддержка инноваций на финансовом рынке способствуют повышению доступности различных видов финансовых и платежных инструментов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развитию конкуренции и появлению новых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моделей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повышению производительности труда и в конечном счете вносят вклад в структурную трансформацию и развитие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Созданная Банком России платежная инфраструктура обеспечила бесперебойность платежей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расчетов и работы финансовой системы в 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в условиях жестких санкционных ограничений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платежный суверенитет страны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реализацию цифровых и платежных инфраструктурных проектов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создание правовых условий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способствующих внедрению инноваций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Одним из вызовов является уход с рынка поставщиков оборудования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системного программного обеспечения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 управления баз данных и инструментов аналитики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привело</w:t>
      </w:r>
    </w:p>
    <w:p>
      <w:pPr>
        <w:ind w:left="6" w:right="40" w:hanging="6"/>
        <w:spacing w:after="0" w:line="296" w:lineRule="auto"/>
        <w:tabs>
          <w:tab w:leader="none" w:pos="171" w:val="left"/>
        </w:tabs>
        <w:numPr>
          <w:ilvl w:val="0"/>
          <w:numId w:val="24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сложностям поставок оборудования по ряду направлений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телекоммуникационное оборудование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программно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аппаратные комплексы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системы хранения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системы резервного копирования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невозможности получать техническую поддержку по ранее заключенным контрактам и масштабированию внедренных решений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этих условиях особенно важным является продолжение развития цифровых 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основе которых лежат российские технологии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1.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Развитие регулирования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совместно с Правительством Российской Федерации уделяет большое внимание созданию и своевременной адаптации правового регулирования для внедрения современных технологий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вывода на рынок инновационных финансовых продуктов и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Стремительное развитие цифровых и платежных технологий требует своевременного обновления нормативной базы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регулятивная нагрузка не должна препятствовать развитию инноваций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Регулирование должно обеспечивать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одной стороны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необходимые условия для внедрения цифровых инноваций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другой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защиту прав потребителей и финансовую стабильность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740"/>
        <w:spacing w:after="0" w:line="3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Будут продолжены разработка и внедрение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направленного на развитие цифровых и платежных сервисов при обеспечении защиты данных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киберустойчивости элементов национальной платежной системы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8" w:lineRule="exact"/>
        <w:rPr>
          <w:sz w:val="20"/>
          <w:szCs w:val="20"/>
          <w:color w:val="auto"/>
        </w:rPr>
      </w:pPr>
    </w:p>
    <w:p>
      <w:pPr>
        <w:ind w:left="6" w:right="860" w:hanging="6"/>
        <w:spacing w:after="0" w:line="309" w:lineRule="auto"/>
        <w:tabs>
          <w:tab w:leader="none" w:pos="195" w:val="left"/>
        </w:tabs>
        <w:numPr>
          <w:ilvl w:val="0"/>
          <w:numId w:val="24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развития конкурентной среды на платежном рынке будет завершено формирование правовой основы для введения небанковских поставщиков платежных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60" w:hanging="6"/>
        <w:spacing w:after="0" w:line="294" w:lineRule="auto"/>
        <w:tabs>
          <w:tab w:leader="none" w:pos="195" w:val="left"/>
        </w:tabs>
        <w:numPr>
          <w:ilvl w:val="0"/>
          <w:numId w:val="24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условиях активного развития современных платежных сервисов в национальной платежной системе все более существенную позицию занимают операторы услуг информационного обмена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ОУИО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с учетом возрастающих объемов операций таких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зависимости ряда банков от предоставляемых ими услуг запланированы мероприятия по развитию регулирования деятельности ОУИО и внедрению механизмов контроля их деятельности в рамках надзора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216535</wp:posOffset>
                </wp:positionV>
                <wp:extent cx="1259840" cy="0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6" o:spid="_x0000_s10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7.05pt" to="99.2pt,17.0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9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46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hyperlink r:id="rId37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Основные направления развития финансовых технологий на период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2025–2027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годов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  <w:type w:val="continuous"/>
        </w:sectPr>
      </w:pPr>
    </w:p>
    <w:bookmarkStart w:id="64" w:name="page65"/>
    <w:bookmarkEnd w:id="6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200" w:hanging="6"/>
        <w:spacing w:after="0" w:line="295" w:lineRule="auto"/>
        <w:tabs>
          <w:tab w:leader="none" w:pos="195" w:val="left"/>
        </w:tabs>
        <w:numPr>
          <w:ilvl w:val="0"/>
          <w:numId w:val="24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развития механизма удаленной биометрической идентификации планируется обеспечить создание правовых условий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повышение качества и удобства процесса сбора биометрии в ЕБС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Одновременно с этим будет продолжено развитие регулирования с целью расширения перечня доступных для граждан услуг с использованием биометрии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участии Банка России продолжается реализация мероприятий по дальнейшему развитию регулирования Цифрового профиля как единого окна для получения данных из государственных информационных систем с согласия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обмену данными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необходимыми для предоставления финансовых продуктов и услуг в цифровом виде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между гражданами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государством и бизнесом с учетом требований и принципов законодательства Российской Федерации в области персональных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продолжено развитие регулирования с целью расширения перечня сведений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доступных в Цифровом профиле физического лица и Цифровом профиле юридического лица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необходимых для предоставления услуг гражданам и бизнесу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 учетом мнения участников рынка разработал предложения по нормативному регулированию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реализации модели Открытых финансов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предложения по внесению изменений в законодательство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предусматривающие закрепление необходимых полномочий регулятора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Принятие соответствующих изменений позволит сформировать правовые условия для внедрения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294" w:lineRule="auto"/>
        <w:tabs>
          <w:tab w:leader="none" w:pos="195" w:val="left"/>
        </w:tabs>
        <w:numPr>
          <w:ilvl w:val="0"/>
          <w:numId w:val="24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работы по формированию условий развития искусственного интеллекта на финансовом рынке Банк России с учетом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ориентированного подхода планирует определить те области использования ИИ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требуют введения регулирования</w:t>
      </w:r>
      <w:r>
        <w:rPr>
          <w:rFonts w:ascii="Arial" w:cs="Arial" w:eastAsia="Arial" w:hAnsi="Arial"/>
          <w:sz w:val="11"/>
          <w:szCs w:val="11"/>
          <w:color w:val="auto"/>
        </w:rPr>
        <w:t>66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34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проводить мониторинг и анализ текущих практик российских финансовых организаций по управлению рисками 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результатам этого анализа будут выработаны предложения по содержанию Кодекса этики применения 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оценена необходимость внесения изменений в действующее регулирование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30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совместно с профильными федеральными органами исполнительной власти продолжит развитие регулирования в области оборота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будет содействовать скорейшему принятию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направленного на правовое обеспечение создания единой точки доступа для проверки сведений об абоненте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Запуск указанной системы позволит снизить риски совершения мошеннических действий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предоставляя возможность организациям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использующим при оказании дистанционных услуг номер телефона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удостовериться в том числе в принадлежности указанного номера телефона конкретному клиенту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также считает необходимым продолжить развитие регулирования цифровых прав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3" w:lineRule="auto"/>
        <w:tabs>
          <w:tab w:leader="none" w:pos="180" w:val="left"/>
        </w:tabs>
        <w:numPr>
          <w:ilvl w:val="0"/>
          <w:numId w:val="24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обеспечить для участников финансового рынка дополнительные условия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позволят бизнесу создавать инновационные цифровые решения для привлечения инвестиций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гражданам предоставят возможность бесшовно и удобно получать инвестиционные услуги при одновременной защите их прав и интересов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целью развития инновационных инструментов на финансовом рынке планируется развитие регулирования цифровых прав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законодательном уровне со временем предлагается проработать установление порядка налогообложения операций с УЦП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качестве одних из приоритетных направлений планируется развитие цифровых прав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как инструментов инвестиций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создание механизма упрощенной идентификации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продуктов и сервисов на основе ЦФА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инфраструктуры для обращения цифровых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48260</wp:posOffset>
                </wp:positionV>
                <wp:extent cx="1259840" cy="0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7" o:spid="_x0000_s107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.8pt" to="99.2pt,3.8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p>
      <w:pPr>
        <w:spacing w:after="0" w:line="213" w:lineRule="exact"/>
        <w:rPr>
          <w:sz w:val="20"/>
          <w:szCs w:val="20"/>
          <w:color w:val="auto"/>
        </w:rPr>
      </w:pPr>
    </w:p>
    <w:p>
      <w:pPr>
        <w:jc w:val="both"/>
        <w:ind w:left="166" w:right="920" w:hanging="166"/>
        <w:spacing w:after="0" w:line="252" w:lineRule="auto"/>
        <w:tabs>
          <w:tab w:leader="none" w:pos="167" w:val="left"/>
        </w:tabs>
        <w:numPr>
          <w:ilvl w:val="0"/>
          <w:numId w:val="250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r>
        <w:rPr>
          <w:rFonts w:ascii="Arial" w:cs="Arial" w:eastAsia="Arial" w:hAnsi="Arial"/>
          <w:sz w:val="16"/>
          <w:szCs w:val="16"/>
          <w:color w:val="auto"/>
        </w:rPr>
        <w:t>Вопросы развития и использования ИИ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риски его внедрения финансовыми организациями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а также подходы к регулированию сформулированы в докладе для общественных консультаций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38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«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Применение искусственного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38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интеллекта на финансовом рынке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»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и отчете об итогах его обсуждения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  <w:type w:val="continuous"/>
        </w:sectPr>
      </w:pPr>
    </w:p>
    <w:bookmarkStart w:id="65" w:name="page66"/>
    <w:bookmarkEnd w:id="6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62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гармонизация подходов по выпуску и обращению различных видов цифровых прав и подходов по допуску неквалифицированных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предоставление возможности совершения сделок</w:t>
      </w:r>
    </w:p>
    <w:p>
      <w:pPr>
        <w:ind w:left="6" w:right="80" w:hanging="6"/>
        <w:spacing w:after="0" w:line="294" w:lineRule="auto"/>
        <w:tabs>
          <w:tab w:leader="none" w:pos="172" w:val="left"/>
        </w:tabs>
        <w:numPr>
          <w:ilvl w:val="0"/>
          <w:numId w:val="25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цифровыми правами на организованных торгах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существующим запросом пользователей информационных систем планируется также рассмотреть возможность создания условий для осуществления доверительного управления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коллективного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цифровыми правами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Отдельного анализа и оценки также требуют вопросы арбитража между ЦФА и традиционными финансовыми инструментами для возможной гармонизации регуляторных подходов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2.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Реализация инфраструктурных проектов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0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осуществлять развитие элементов национальной цифровой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обеспечивающей равный доступ к ней участников финансового рынка</w:t>
      </w:r>
    </w:p>
    <w:p>
      <w:pPr>
        <w:ind w:left="6" w:right="80" w:hanging="6"/>
        <w:spacing w:after="0" w:line="293" w:lineRule="auto"/>
        <w:tabs>
          <w:tab w:leader="none" w:pos="186" w:val="left"/>
        </w:tabs>
        <w:numPr>
          <w:ilvl w:val="0"/>
          <w:numId w:val="25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предоставляющей им дополнительные возможности для внедрения инноваций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такой инфраструктуры является основой для повышения доступности финансовых продуктов и услуг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сокращения их затрат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увеличения скорости и удобства взаимодействия с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развития конкуренции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ключевой задачей станет обеспечение бесшовности функционирования различных элементов национальной цифровой инфраструктуры в области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платежей и обмена данными при соблюдении требований в области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400" w:hanging="6"/>
        <w:spacing w:after="0" w:line="293" w:lineRule="auto"/>
        <w:tabs>
          <w:tab w:leader="none" w:pos="201" w:val="left"/>
        </w:tabs>
        <w:numPr>
          <w:ilvl w:val="0"/>
          <w:numId w:val="25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Национальной системы платежных карт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НСПК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платежной системы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продолжится дальнейшее развитие продуктов и сервисов на базе передовых российских платежных технологий в целях предоставления гражданам и бизнесу возможности совершать удобные и безопасные платежи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дальнейшего развития планируется сохранение высокого уровня доступности и бесперебойности сервисов НСПК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финансовых и нефинансовых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по оплате отдельных категорий товаров картой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посредством электронного сертификата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работу по развитию функционала и увеличению числа участников СПФС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посредством механизма подключения через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сервис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бюро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309" w:lineRule="auto"/>
        <w:tabs>
          <w:tab w:leader="none" w:pos="201" w:val="left"/>
        </w:tabs>
        <w:numPr>
          <w:ilvl w:val="0"/>
          <w:numId w:val="25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СБП планируется расширить возможности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платежей в бюджетную систему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сервис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C2G),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для оплаты налогов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штрафов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сборов и пошлин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содействия развитию платежных технологий и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повышения уровня конкуренции Банк России планирует реализацию мероприятий по внедрению универсального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 упростит и унифицирует клиентский опыт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предоставит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возможность использовать существующие платежные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СБП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платежные сервисы банков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облегчит подключение новых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таких как расчеты цифровыми рублями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Планируется внедрение сервиса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позволяющего плательщику осуществлять оплату товаров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25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услуг с использованием его биометрических персональных данных как через СБП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</w:p>
    <w:p>
      <w:pPr>
        <w:spacing w:after="0" w:line="4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25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картами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 (</w:t>
      </w:r>
      <w:r>
        <w:rPr>
          <w:rFonts w:ascii="Arial" w:cs="Arial" w:eastAsia="Arial" w:hAnsi="Arial"/>
          <w:sz w:val="20"/>
          <w:szCs w:val="20"/>
          <w:color w:val="auto"/>
        </w:rPr>
        <w:t>биоэквайринг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8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поэтапное внедрение цифрового рубля и развитие функционала платформы цифрового рубля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стартовал новый этап тестирования операций с реальными цифровыми рублями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увеличилось число участников пилота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9000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физических лиц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1200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юридических лиц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Ведется работа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направленная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подключение банков второй волны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с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участникам пилотирования стали доступны новые операции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оплата по динамическому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QR-</w:t>
      </w:r>
      <w:r>
        <w:rPr>
          <w:rFonts w:ascii="Arial" w:cs="Arial" w:eastAsia="Arial" w:hAnsi="Arial"/>
          <w:sz w:val="20"/>
          <w:szCs w:val="20"/>
          <w:color w:val="auto"/>
        </w:rPr>
        <w:t>коду и переводы между юридическими лицами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следующих этапах развития платформы планируется реализовать </w:t>
      </w:r>
      <w:r>
        <w:rPr>
          <w:rFonts w:ascii="Arial" w:cs="Arial" w:eastAsia="Arial" w:hAnsi="Arial"/>
          <w:sz w:val="20"/>
          <w:szCs w:val="20"/>
          <w:color w:val="auto"/>
        </w:rPr>
        <w:t>e-com: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платежи по инициативе торговых точек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платежи юридических лиц в пользу физических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99" w:gutter="0" w:footer="0" w:header="0"/>
        </w:sectPr>
      </w:pPr>
    </w:p>
    <w:bookmarkStart w:id="66" w:name="page67"/>
    <w:bookmarkEnd w:id="6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 смарт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контрактов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цифровых рублей в операциях с бюджетными средствами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июля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совершить переход от пилота к массовому внедрению цифрового рубля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развитие механизма удаленной биометрической идентификации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5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использованием ЕБС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позволяющей перевести все финансовые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нефинансовые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государственные услуги в цифровой вид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повысить их доступность для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60" w:hanging="6"/>
        <w:spacing w:after="0" w:line="293" w:lineRule="auto"/>
        <w:tabs>
          <w:tab w:leader="none" w:pos="174" w:val="left"/>
        </w:tabs>
        <w:numPr>
          <w:ilvl w:val="0"/>
          <w:numId w:val="25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том числе людей с инвалидностью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пожилого и маломобильного населения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будет способствовать развитию конкуренции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повышения удобства использования ЕБС будет проведена оптимизация клиентского пути сбора биометрических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совместно с Правительством Российской Федерации проработает вопрос о распространении биометрического способа проведения идентификации на физических лиц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нерезидентов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позволит им получать услуги дистанционно без необходимости посещения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Предоставление участникам рынка доступа к данным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содержащимся в государственных информационных системах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расширяет возможности организаций по предоставлению удобных продуктов и сервисов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необходима дальнейшая систематизация государственных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автоматизация процесса управления ими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контроль качества таких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совместно с заинтересованными федеральными органами исполнительной власти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460" w:hanging="6"/>
        <w:spacing w:after="0" w:line="295" w:lineRule="auto"/>
        <w:tabs>
          <w:tab w:leader="none" w:pos="186" w:val="left"/>
        </w:tabs>
        <w:numPr>
          <w:ilvl w:val="0"/>
          <w:numId w:val="25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участниками рынка продолжит развитие инфраструктуры Цифрового профиля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Планируется продолжить работу по обеспечению подключения новых участников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расширению перечня видов сведений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передаваемых с использованием Цифрового профиля физического лица и Цифрового профиля юридического лица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будут разработаны сценарии предоставления сведений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необходимых для цифровизации страховой медицины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Будет продолжено развитие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Внедрение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осуществляться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4" w:lineRule="auto"/>
        <w:tabs>
          <w:tab w:leader="none" w:pos="174" w:val="left"/>
        </w:tabs>
        <w:numPr>
          <w:ilvl w:val="0"/>
          <w:numId w:val="25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соответствии с гибридным подходом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поэтапное внедрение модели Открытых финансов с элементами модели Открытых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использование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носить рекомендательный характер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 чего станет обязательным для крупнейших участников отдельных секторов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Широкое внедрение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способствовать развитию инноваций и конкуренции на российском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повышению качества и доступности финансовых услуг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обмен клиентскими данными может происходить только при получении соответствующего согласия от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обеспечения информационного взаимодействия участников рынка и получения согласия от клиента с использованием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совместно с заинтересованными федеральными органами исполнительной власти проработать вопрос создания Платформы коммерческих согласий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ПКС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Создание ПКС будет способствовать возможности выдачи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просмотра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отзыва и изменения условий унифицированных согласий на передачу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хранение и обработку данных пользователей в режиме единого окна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3.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Регулирование экосистем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4" w:lineRule="auto"/>
        <w:tabs>
          <w:tab w:leader="none" w:pos="197" w:val="left"/>
        </w:tabs>
        <w:numPr>
          <w:ilvl w:val="0"/>
          <w:numId w:val="26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России продолжается ускоренное внедрение платформенных решений в различных отраслях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растет популярность экосистемной бизнес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модели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целом российская платформенная индустрия подтвердила свою роль в структурной трансформации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отечественные игроки усилили лидирующие позиции в большинстве сегментов российского рынка и внесли свой вклад в формирование экономической и технологической независимости страны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141" w:gutter="0" w:footer="0" w:header="0"/>
        </w:sectPr>
      </w:pPr>
    </w:p>
    <w:bookmarkStart w:id="67" w:name="page68"/>
    <w:bookmarkEnd w:id="6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64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Неотъемлемой частью экосистем стали финансовые продукты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использованием которых формируется единый бесшовный клиентский сценарий как для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для поставщиков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создает множество позитивных эффектов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повышает доступность продуктов и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улучшает качество сервисов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 же время ведущие экосистемы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сформированные на базе крупнейших банков и технологических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начинают играть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760" w:hanging="6"/>
        <w:spacing w:after="0" w:line="301" w:lineRule="auto"/>
        <w:tabs>
          <w:tab w:leader="none" w:pos="174" w:val="left"/>
        </w:tabs>
        <w:numPr>
          <w:ilvl w:val="0"/>
          <w:numId w:val="26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российской экономике роль критически значимой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которой строится процесс реализации товаров и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Тенденции в развитии платформенной экономики показывают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выработка подходов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00" w:hanging="6"/>
        <w:spacing w:after="0" w:line="293" w:lineRule="auto"/>
        <w:tabs>
          <w:tab w:leader="none" w:pos="171" w:val="left"/>
        </w:tabs>
        <w:numPr>
          <w:ilvl w:val="0"/>
          <w:numId w:val="26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регулированию платформ и экосистем сохраняет свою актуальность в текущих условиях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Введение регулирования экосистем должно происходить таким образом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сохранить для граждан и бизнеса все преимущества их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при этом ограничить связанные с ними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риски злоупотребления доминирующим положением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риски в сфере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обеспечить защиту прав поставщиков и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отмечает специфические риски для кредиторов и вкладчиков 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базе которых формируются экосистемы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 выходом банков в новые для них нефинансовые отрасли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стратегический риск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риск вынужденной поддержки непрофильного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риск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считает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необходимо продолжить разработку подходов к регулированию платформенного и экосистемного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Такое регулирование не должно создавать барьеры процессам структурной трансформации и цифровизации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Скорость внедрения регулирования должна зависеть от уровня платформизации конкретного сектора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его социальной и экономической значимости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Оно должно базироваться на принципе пропорциональности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3" w:lineRule="auto"/>
        <w:tabs>
          <w:tab w:leader="none" w:pos="174" w:val="left"/>
        </w:tabs>
        <w:numPr>
          <w:ilvl w:val="0"/>
          <w:numId w:val="26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зависимости от масштаба бизнеса и потенциальных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есть к крупнейшим участникам должно предъявляться больше требований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разработке регулирования крупных экосистем предлагается исходить из приоритетности следующих направлений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системного мониторинга финансовых рисков небанковских экосистем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введения требований к операционной надежности экосистем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обеспечения справедливых правил доступа и работы в экосистемах для потребителей и поставщиков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защиты их прав и интересов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необходимо обеспечить единые правила и требования независимо от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формируются ли экосистемы на базе банков или технологических компаний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6" w:right="240" w:hanging="6"/>
        <w:spacing w:after="0" w:line="296" w:lineRule="auto"/>
        <w:tabs>
          <w:tab w:leader="none" w:pos="201" w:val="left"/>
        </w:tabs>
        <w:numPr>
          <w:ilvl w:val="0"/>
          <w:numId w:val="2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связи с быстрым развитием государственных платформенных сервисов для участников рынка повышается актуальность водораздела с государственными платформами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бизнесу нужна прозрачность и предсказуемость политики государства в этом вопросе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4.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Реализация мероприятий по развитию технологий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SupTech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и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RegTech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7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будет проводить последовательную цифровизацию регулирования и надзора в рамках реализации мероприятий по развитию технологий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Применение технологий в сфере регулирования и надзора позволит оптимизировать текущие процессы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повысить эффективность надзорной и регуляторной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сократить затраты и нагрузку как на поднадзорные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на регулятора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jc w:val="both"/>
        <w:ind w:left="6" w:right="4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изучение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разработку и внедрение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RegTech-</w:t>
      </w:r>
      <w:r>
        <w:rPr>
          <w:rFonts w:ascii="Arial" w:cs="Arial" w:eastAsia="Arial" w:hAnsi="Arial"/>
          <w:sz w:val="20"/>
          <w:szCs w:val="20"/>
          <w:color w:val="auto"/>
        </w:rPr>
        <w:t>решений в том числе в таких направлениях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анализ и управление рисками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совершенствование процедур допуска на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выявление неправомерных действий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440" w:gutter="0" w:footer="0" w:header="0"/>
        </w:sectPr>
      </w:pPr>
    </w:p>
    <w:bookmarkStart w:id="68" w:name="page69"/>
    <w:bookmarkEnd w:id="6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Реализация мероприятий в сфере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SupTech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RegTech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позволит повысить эффективность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2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цифровизацию деятельности как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участников финансового рынка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2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перспективе будет также способствовать снижению регуляторной нагрузки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9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5.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Реализация экспериментальных правовых режимов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Механизм экспериментальных правовых режимов позволит проводить пилотирование инновационных финансовых продуктов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сервисов и технологий на финансовом рынке с участием реальных клиентов в условиях неприменения отдельных положений законодательства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его рамках у регуляторов появится возможность оценить эффективность нового сервиса и продукта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60" w:hanging="6"/>
        <w:spacing w:after="0" w:line="295" w:lineRule="auto"/>
        <w:tabs>
          <w:tab w:leader="none" w:pos="173" w:val="left"/>
        </w:tabs>
        <w:numPr>
          <w:ilvl w:val="0"/>
          <w:numId w:val="26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сопутствующие риски и по итогам такого пилота принять решение о целесообразности изменений в регулировании для вывода подобных новых сервисов и продуктов на рынок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Накопленный в рамках эксперимента опыт позволит уже на начальном этапе предусмотреть эффективные механизмы снижения рисков и обеспечить защиту прав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финансовом рынке планируется установление ряда экспериментальных правовых режимов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части использования цифровых валют для осуществления расчетов по внешнеторговой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проведения удаленной идентификации клиентов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380" w:hanging="6"/>
        <w:spacing w:after="0" w:line="294" w:lineRule="auto"/>
        <w:tabs>
          <w:tab w:leader="none" w:pos="177" w:val="left"/>
        </w:tabs>
        <w:numPr>
          <w:ilvl w:val="0"/>
          <w:numId w:val="26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использованием видеосвязи и так далее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реализации экспериментальных правовых режимов будет продолжено развитие соответствующих правовых условий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позволяющих изменять или исключать действие отдельных положений федеральных законов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дальнейшем также будут рассмотрены иные направления установления экспериментальных правовых режимов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Наряду с экспериментальными правовыми режимами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продолжает функционировать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регулятивная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работа которой была оптимизирована за счет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значительного сокращения сроков рассмотрения проектов и упрощения формы заявки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ее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рамках инновационные продукты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сервисы и технологии исследуются в тестовой среде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без привлечения реальных клиентов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 оценки эффектов от внедрения таких продуктов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301" w:lineRule="auto"/>
        <w:tabs>
          <w:tab w:leader="none" w:pos="186" w:val="left"/>
        </w:tabs>
        <w:numPr>
          <w:ilvl w:val="0"/>
          <w:numId w:val="26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услуг для финансового рынка принимаются решения о целесообразности внесения изменений в регулирование для их запуска на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Оба этих механизма направлены на устранение правовых барьеров для внедрения инноваций на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экспериментальные правовые режимы предназначены скорее для комплексных финансовых продуктов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риски и потенциальный эффект которых можно оценить только при их реальном внедрении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регулятивная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использоваться для оценки менее сложных продуктов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можно исследовать без пилотного внедрения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Таким образом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зависимости от характера предлагаемых инновационных продуктов и услуг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00" w:hanging="6"/>
        <w:spacing w:after="0" w:line="301" w:lineRule="auto"/>
        <w:tabs>
          <w:tab w:leader="none" w:pos="177" w:val="left"/>
        </w:tabs>
        <w:numPr>
          <w:ilvl w:val="0"/>
          <w:numId w:val="26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целью проведения их тестирования участники рынка смогут использовать два механизма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экспериментальные правовые режимы и регулятивную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песочницу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6.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Создание условий для безопасного внедрения цифровых и платежных технологий и обеспечения технологического суверенитета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совместно с заинтересованными государственными органами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Ассоциацией ФинТех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 w:right="480" w:hanging="6"/>
        <w:spacing w:after="0" w:line="294" w:lineRule="auto"/>
        <w:tabs>
          <w:tab w:leader="none" w:pos="186" w:val="left"/>
        </w:tabs>
        <w:numPr>
          <w:ilvl w:val="0"/>
          <w:numId w:val="27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участниками рынка продолжит реализацию комплекса мероприятий по импортозамещению программного обеспечения и оборудования в финансовой сфере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этом вопросе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наряду с требованиями к программному обеспечению и технологическим решениям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применяемым</w:t>
      </w:r>
    </w:p>
    <w:p>
      <w:pPr>
        <w:ind w:left="6" w:right="480"/>
        <w:spacing w:after="0" w:line="29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финансовых организациях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на площадке Индустриального центра компетенций </w:t>
      </w: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Финансы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обеспечить координацию с поставщиками программных продуктов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способствовать развитию конкуренции в указанной сфере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bookmarkStart w:id="69" w:name="page70"/>
    <w:bookmarkEnd w:id="6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66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95" w:lineRule="auto"/>
        <w:tabs>
          <w:tab w:leader="none" w:pos="201" w:val="left"/>
        </w:tabs>
        <w:numPr>
          <w:ilvl w:val="0"/>
          <w:numId w:val="27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обеспечения технологического суверенитета в сфере наличного денежного обращения совместно с производителями оборудования будет продолжена работа по импортозамещению оборудования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используемого подразделениями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кредитными организациями и торгово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сервисными предприятиями при обработке наличных денег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снижения риска технологической зависимости финансовых организаций и инфраструктуры от внешних поставщиков Банк России будет осуществлять координацию деятельности организаций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этого в Банке России функционирует отраслевой центр компетенций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финансового сектора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который Банк России осуществляет контроль рисков применения иностранных информационных технологий и их импортозамещение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Важной задачей в вопросах технологического суверенитета является контроль и мониторинг со стороны Банка России за соблюдением планов мероприятий финансовых организаций по переходу на преимущественное использование российского программного обеспечения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отечественных радиоэлектронной продукции и телекоммуникационного оборудования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Одни из важных задач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оценка влияния киберрисков на финансовую устойчивость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00" w:hanging="6"/>
        <w:spacing w:after="0" w:line="307" w:lineRule="auto"/>
        <w:tabs>
          <w:tab w:leader="none" w:pos="173" w:val="left"/>
        </w:tabs>
        <w:numPr>
          <w:ilvl w:val="0"/>
          <w:numId w:val="27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операционную надежность СЗКО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финансовых объединений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финансовых экосистем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мониторинг и выявление указанных киберрисков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94" w:lineRule="auto"/>
        <w:tabs>
          <w:tab w:leader="none" w:pos="210" w:val="left"/>
        </w:tabs>
        <w:numPr>
          <w:ilvl w:val="0"/>
          <w:numId w:val="27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целью дальнейшего развития цифрового предоставления услуг важно обеспечить возможность использования клиентами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физическими и юридическими лицами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УКЭП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усиленной неквалифицированной электронной подписи Единой системы идентификации и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ЕСИА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обеспечения всех организаций финансового рынка сертификатами ключей УКЭП функционирует удостоверяющий центр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реализацию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формирование среды доверия при удаленном предоставлении финансовых услуг и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создавая для финансовых организаций правовую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технологическую и методологическую основу повышения качества аутентификации клиентов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Будет реализован комплекс правовых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организационных и информационно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просветительских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сокращение объема операций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совершаемых без согласия клиентов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применением методов социальной инженерии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формирование позитивного клиентского опыта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обеспечение доверия потребителей финансовых услуг к предоставляемым финансовым сервисам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5" w:lineRule="auto"/>
        <w:tabs>
          <w:tab w:leader="none" w:pos="201" w:val="left"/>
        </w:tabs>
        <w:numPr>
          <w:ilvl w:val="0"/>
          <w:numId w:val="27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борьбы с мошенничеством важным направлением является совершенствование механизмов информационного взаимодействия кредитно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финансовой сферы с Банком России посредством инфраструктуры ФинЦЕРТ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автоматизированный сбор информации об инцидентах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оперативное распространение информации о них и правил реагирования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9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Другое направление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контроля рисков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операционной надежности для непрерывности оказания банковских и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при разработке требований и стандартов по информационной безопасности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940" w:hanging="6"/>
        <w:spacing w:after="0" w:line="301" w:lineRule="auto"/>
        <w:tabs>
          <w:tab w:leader="none" w:pos="186" w:val="left"/>
        </w:tabs>
        <w:numPr>
          <w:ilvl w:val="0"/>
          <w:numId w:val="27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операционной надежности учитывает практику международных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(ITU, ISO),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иностранных регуляторов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международные стандарты и рекомендации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активно взаимодействовать с государственными органами по вопросу развития и внедрения технологий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реализации проектов и законодательных инициатив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способствуют цифровизации финансового рынка при обеспечении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технологической независимости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поддержании конкуренции и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63" w:gutter="0" w:footer="0" w:header="0"/>
        </w:sectPr>
      </w:pPr>
    </w:p>
    <w:bookmarkStart w:id="70" w:name="page71"/>
    <w:bookmarkEnd w:id="7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66" w:hanging="266"/>
        <w:spacing w:after="0"/>
        <w:tabs>
          <w:tab w:leader="none" w:pos="266" w:val="left"/>
        </w:tabs>
        <w:numPr>
          <w:ilvl w:val="0"/>
          <w:numId w:val="276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4.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Развитие системы внешнеторговых платежей и расчетов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6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Расширение внешнеэкономической деятельности с широким кругом стран с учетом сохранения вектора на открытость российской экономики в современных условиях требует перехода на новые каналы и механизмы международных расчетов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совместно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7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Правительством Российской Федерации и участниками рынка проводит активную работу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295" w:lineRule="auto"/>
        <w:tabs>
          <w:tab w:leader="none" w:pos="177" w:val="left"/>
        </w:tabs>
        <w:numPr>
          <w:ilvl w:val="0"/>
          <w:numId w:val="27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зарубежными регуляторами и участниками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исходя из приоритета построения внешнеэкономической деятельности на рыночных принципах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части финансового обслуживания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отдавая приоритет использованию российского рубля и других национальных валют в международных расчетах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1.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Развитие международных платежей и расчетов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Проводимая Банком России совместно с Правительством Российской Федерации и участниками рынка работа направлена на преодоление существующих ограничений и создание условий для развития системы международных расчетов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полноценно отвечающей вызовам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120" w:hanging="6"/>
        <w:spacing w:after="0" w:line="296" w:lineRule="auto"/>
        <w:tabs>
          <w:tab w:leader="none" w:pos="186" w:val="left"/>
        </w:tabs>
        <w:numPr>
          <w:ilvl w:val="0"/>
          <w:numId w:val="27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потребностям нового времени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требуется проработка не только системных 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индивидуальных подходов при выстраивании взаимодействия с разными странами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/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группами стран с учетом их специфики и складывающегося баланса внешней торговли с Россией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продолжит работу по следующим ключевым направлениям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использование российского рубля и национальных валют отдельных стран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–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торговых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партнеров в трансграничных расчетах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существенно снизит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обусловленные действиями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недружественных государств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расширение инфраструктуры международных расчетов с основными торговыми партнерами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из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совершающих недружественных действий в отношении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выстраивание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независимых каналов передачи финансовых сообщений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использованием российской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СПФС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обеспечение недискриминационного доступа к инфраструктуре международных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расчетов для российских кредитных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развитие сети корреспондентских отношений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открытие корсчетов российских банков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0" w:lineRule="auto"/>
        <w:tabs>
          <w:tab w:leader="none" w:pos="167" w:val="left"/>
        </w:tabs>
        <w:numPr>
          <w:ilvl w:val="0"/>
          <w:numId w:val="27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кредитных организациях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совершающих недружественных действий в отношении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особенно в тех странах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которыми такие отношения пока слабо развиты при значимых объемах торгового оборота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 дальнейшее расширение использования СБП для трансграничных переводов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180"/>
        <w:spacing w:after="0" w:line="307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сохранение и развитие инфраструктуры приема карт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Мир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рубежом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поиск альтернативных решений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8" w:lineRule="exact"/>
        <w:rPr>
          <w:sz w:val="20"/>
          <w:szCs w:val="20"/>
          <w:color w:val="auto"/>
        </w:rPr>
      </w:pPr>
    </w:p>
    <w:p>
      <w:pPr>
        <w:ind w:left="6" w:right="200" w:hanging="6"/>
        <w:spacing w:after="0" w:line="293" w:lineRule="auto"/>
        <w:tabs>
          <w:tab w:leader="none" w:pos="201" w:val="left"/>
        </w:tabs>
        <w:numPr>
          <w:ilvl w:val="0"/>
          <w:numId w:val="28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расширения возможностей для иностранных инвесторов на российском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уже созданы правовые условия для упрощенного допуска к организованным торгам иностранной валютой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валютными и процентными ПФИ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проведения удаленной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условия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позволяющие в перспективе осуществлять финансирование на основе партнерских принципов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России до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проводится эксперимент по партнерскому финансированию</w:t>
      </w:r>
      <w:r>
        <w:rPr>
          <w:rFonts w:ascii="Arial" w:cs="Arial" w:eastAsia="Arial" w:hAnsi="Arial"/>
          <w:sz w:val="11"/>
          <w:szCs w:val="11"/>
          <w:color w:val="auto"/>
        </w:rPr>
        <w:t>67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предусмотрена законодательная возможность для открытия филиалов иностранных банков дружественных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реализации которой будут разработаны соответствующие нормативные акты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Продолжится работа по созданию условий для прямого доступа на российский фондовый рынок инвесторов из государств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партнеров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государства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члены ЕАЭС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259840" cy="0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8" o:spid="_x0000_s10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8.8pt" to="99.2pt,18.8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3" w:lineRule="exact"/>
        <w:rPr>
          <w:sz w:val="20"/>
          <w:szCs w:val="20"/>
          <w:color w:val="auto"/>
        </w:rPr>
      </w:pPr>
    </w:p>
    <w:p>
      <w:pPr>
        <w:ind w:left="166" w:right="1060" w:hanging="166"/>
        <w:spacing w:after="0" w:line="252" w:lineRule="auto"/>
        <w:tabs>
          <w:tab w:leader="none" w:pos="162" w:val="left"/>
        </w:tabs>
        <w:numPr>
          <w:ilvl w:val="0"/>
          <w:numId w:val="281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Подробнее см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задачу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2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Развитие рынка капитала и иных механизмов для долгосрочного финансирования экономического развития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направления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3.1 «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Создание условий для усиления роли финансового рынка в финансировании трансформации экономики при сохранении устойчивости финансового сектора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>»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1" w:gutter="0" w:footer="0" w:header="0"/>
          <w:type w:val="continuous"/>
        </w:sectPr>
      </w:pPr>
    </w:p>
    <w:bookmarkStart w:id="71" w:name="page72"/>
    <w:bookmarkEnd w:id="7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68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jc w:val="both"/>
        <w:ind w:left="6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также будет учитывать изменения в системе внешнеторговых и финансовых расчетов при оценке рисков для финансовой стабильности и разработке механизмов ограничения этих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 w:right="520" w:hanging="6"/>
        <w:spacing w:after="0" w:line="301" w:lineRule="auto"/>
        <w:tabs>
          <w:tab w:leader="none" w:pos="202" w:val="left"/>
        </w:tabs>
        <w:numPr>
          <w:ilvl w:val="0"/>
          <w:numId w:val="28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учетом перехода на расчеты в национальных валютах и специфики соответствующих рынков требуются инструменты хеджирования внешнеторговых и финансовых операций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совместно с заинтересованными государственными органами и участниками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финансового рынка создает и развивает условия для использования цифровых прав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осуществления международных расчетов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применения цифровых валют в рамках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экспериментального правового режима для осуществления расчетов по внешнеторговой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установлен запрет на использование данных инструментов в качестве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средства платежа на территории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9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Активное взаимодействие Банка России с зарубежными центральными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национальными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банками и финансовыми регуляторами позволяет облегчить процесс трансформации</w:t>
      </w:r>
    </w:p>
    <w:p>
      <w:pPr>
        <w:ind w:left="6" w:right="280" w:hanging="6"/>
        <w:spacing w:after="0" w:line="293" w:lineRule="auto"/>
        <w:tabs>
          <w:tab w:leader="none" w:pos="186" w:val="left"/>
        </w:tabs>
        <w:numPr>
          <w:ilvl w:val="0"/>
          <w:numId w:val="28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управлять 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оперативно устранять имеющиеся барьеры в расчетах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находить новых корреспондентов для российских 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гибко настраивать двустороннюю платежно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расчетную инфраструктуру в соответствии с потребностями участников внешнеэкономической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реализовывать проекты и инициативы в многосторонних форматах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Построение депозитарных мостов с иностранными партнерами будет способствовать прямому доступу на рынки для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проведению расчетов и выпуску ценных бумаг в национальных валютах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Вместе с тем развитие таких взаимоотношений зависит от готовности сторон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44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2.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Конфигурация валютного регулирования и ограничений на движение капитала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Меры валютного регулирования и ограничения на движение капитала по мере нормализации ситуации на финансовом рынке и снижения рисков для финансовой стабильности были существенно ослаблены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часть из них отменены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поскольку такие ограничения на практике могут создавать сложности при осуществлении внешнеэкономической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считает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при определении конфигурации валютного регулирования целесообразно исходить из дифференциации подходов в зависимости от резидентства и валют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Требования к резидентам могут быть максимально либерализованы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 время как жесткость требований к нерезидентам должна различаться в зависимости от их юрисдикции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наличия и масштаба принятых мер в отношении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установлении валютных запретов и ограничений следует исходить из принципа взаимности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есть вводить запреты и ограничения только в отношении резидентов тех государств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вводят против Российской Федерации такие меры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Любая либерализация может быть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20" w:hanging="6"/>
        <w:spacing w:after="0" w:line="295" w:lineRule="auto"/>
        <w:tabs>
          <w:tab w:leader="none" w:pos="174" w:val="left"/>
        </w:tabs>
        <w:numPr>
          <w:ilvl w:val="0"/>
          <w:numId w:val="28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отношении государств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не вводят ограничительных мер в отношении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Банк России может рассматривать вариант либерализации в отношении недружественных стран в качестве ответной меры на смягчение санкционных ограничений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разблокировка активов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текущий момент свою актуальность сохраняют меры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принятые в ответ на введенные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недружественными государствами санкции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в том числе с блокировкой активов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ее граждан и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есть меры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имеющие контрсанкционный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характер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Дальнейшая работа по трансформации конфигурации ограничительных мер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движение капитала в Российской Федерации будет учитывать необходимость решения задач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развития российской экономики и повышения привлекательности российской юрисдикции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национальных и иностранных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невозможно без укрепления доверия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920" w:gutter="0" w:footer="0" w:header="0"/>
        </w:sectPr>
      </w:pPr>
    </w:p>
    <w:bookmarkStart w:id="72" w:name="page73"/>
    <w:bookmarkEnd w:id="7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69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инвесторов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финансовому рынку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Даже при санкционном давлении основными условиями доверия на финансовом рынке выступают стабильность и прозрачность действующего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отсутствие существенных ограничений на движение капитала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5" w:lineRule="auto"/>
        <w:tabs>
          <w:tab w:leader="none" w:pos="186" w:val="left"/>
        </w:tabs>
        <w:numPr>
          <w:ilvl w:val="0"/>
          <w:numId w:val="28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инвестиций в экономику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снижение инфраструктурных рисков и надлежащее функционирование механизмов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защиту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Учитывая это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ограничения на движение капитала должны иметь точечный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ограниченный во времени характер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в перспективе необходимо двигаться в сторону их отмены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Вместе с тем в целях защиты инвесторов от санкционных и инфраструктурных рисков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ближайшей перспективе планируется сохранять отдельные ограничения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приобретение ценных бумаг эмитентов из недружественных стран для неквалифицированных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Подходы валютного регулирования и контроля должны содействовать стимулированию перехода на расчеты в российских рублях и валютах дружественных государств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снижению избыточной валютизации активов и пассивов российских нефинансовых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первую очередь связанных с недружественными странами и их валютами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Необходимо наделить Банк России полномочиями по определению перечня видов валют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перечня иностранных валют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быть использованы для оплаты акций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долей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уставных капиталах кредитных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НФО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создания благоприятных условий для внешнеторговой деятельности важно снижение административной нагрузки на участников внешнеторговой деятельности при прохождении ими процедур валютного контроля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00" w:hanging="6"/>
        <w:spacing w:after="0" w:line="292" w:lineRule="auto"/>
        <w:tabs>
          <w:tab w:leader="none" w:pos="201" w:val="left"/>
        </w:tabs>
        <w:numPr>
          <w:ilvl w:val="0"/>
          <w:numId w:val="28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целом необходимо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динамика внутреннего валютного рынка складывалась под влиянием спроса и предложения на иностранную валюту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формируются под воздействием набора внутренних и внешних экономических факторов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Ограничительные меры могут приводить к искажениям динамики валютного курса на внутреннем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формированию серого рынка</w:t>
      </w:r>
    </w:p>
    <w:p>
      <w:pPr>
        <w:ind w:left="6" w:right="300"/>
        <w:spacing w:after="0" w:line="294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обход ограничений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Устойчивость национальной валюты обеспечивается в первую очередь доверием к ней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готовностью резидентов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нерезидентов использовать ее в расчетах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сбережениях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инвестициях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Вклад в формирование такого доверия в том числе вносит ценовая и финансовая стабильность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широкий круг факторов качественного экономического развития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3.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Оптимизация системы ПОД</w:t>
      </w:r>
      <w:r>
        <w:rPr>
          <w:rFonts w:ascii="Arial" w:cs="Arial" w:eastAsia="Arial" w:hAnsi="Arial"/>
          <w:sz w:val="24"/>
          <w:szCs w:val="24"/>
          <w:color w:val="006391"/>
        </w:rPr>
        <w:t>/</w:t>
      </w:r>
      <w:r>
        <w:rPr>
          <w:rFonts w:ascii="Arial" w:cs="Arial" w:eastAsia="Arial" w:hAnsi="Arial"/>
          <w:sz w:val="24"/>
          <w:szCs w:val="24"/>
          <w:color w:val="006391"/>
        </w:rPr>
        <w:t>ФТ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целях оптимизации системы ПОД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ФТ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ФРОМУ Банк России продолжит совместно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6" w:lineRule="auto"/>
        <w:tabs>
          <w:tab w:leader="none" w:pos="177" w:val="left"/>
        </w:tabs>
        <w:numPr>
          <w:ilvl w:val="0"/>
          <w:numId w:val="28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заинтересованными органами государственной власти вести работу по апробации оптимальных способов дистанционного взаимодействия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расширению возможностей российских кредитных организаций по приему на обслуживание как резидентов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нерезидентов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Продолжится работа по обеспечению в рамках экспериментального правового режима возможности проведения кредитной организацией дистанционной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без личного присутствия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идентификации с использованием технологии видео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конференц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связи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Будет осуществляться дальнейшая проработка с Росфинмониторингом вопроса оптимизации перечня операций с денежными средствами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подлежащих обязательному контролю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целью компенсации увеличивающейся нагрузки на поднадзорные Банку России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являются субъектами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противолегализационного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законодательства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расширением объема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направляемой в Росфинмониторинг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822" w:gutter="0" w:footer="0" w:header="0"/>
        </w:sectPr>
      </w:pPr>
    </w:p>
    <w:bookmarkStart w:id="73" w:name="page74"/>
    <w:bookmarkEnd w:id="7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70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66" w:hanging="266"/>
        <w:spacing w:after="0"/>
        <w:tabs>
          <w:tab w:leader="none" w:pos="266" w:val="left"/>
        </w:tabs>
        <w:numPr>
          <w:ilvl w:val="0"/>
          <w:numId w:val="288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5.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Обеспечение финансовой стабильности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jc w:val="both"/>
        <w:ind w:left="6" w:right="5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обеспечения финансовой стабильности Банк России продолжит проводить мониторинг системных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совершенствовать подходы к анализу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инструменты и меры воздействия с учетом меняющейся ситуации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295" w:lineRule="auto"/>
        <w:tabs>
          <w:tab w:leader="none" w:pos="201" w:val="left"/>
        </w:tabs>
        <w:numPr>
          <w:ilvl w:val="0"/>
          <w:numId w:val="28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новых реалиях растет значимость НФО и рынка капитала в обеспечении системной стабильности с учетом повышения роли граждан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их роли на фондовом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требует дальнейшей настройки подходов как к мониторингу системных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к макропруденциальному регулированию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7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непрерывности оказания банковских и финансовых услуг Банк России будет проводить работу по обеспечению контроля рисков информационной безопасности</w:t>
      </w:r>
    </w:p>
    <w:p>
      <w:pPr>
        <w:ind w:left="6" w:right="180" w:hanging="6"/>
        <w:spacing w:after="0" w:line="292" w:lineRule="auto"/>
        <w:tabs>
          <w:tab w:leader="none" w:pos="186" w:val="left"/>
        </w:tabs>
        <w:numPr>
          <w:ilvl w:val="0"/>
          <w:numId w:val="290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операционной надежности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использованием инструментов надзорного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важно с точки зрения системной устойчивости финансового сектора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 подробная информация о соответствующих мерах представлена в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Основных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3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направлениях развития информационной безопасности кредитно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-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финансовой сферы на период</w:t>
        </w:r>
      </w:hyperlink>
    </w:p>
    <w:p>
      <w:pPr>
        <w:ind w:left="6"/>
        <w:spacing w:after="0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3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2023 – 2025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годов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pacing w:after="0" w:line="39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1.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Снижение рисков для финансовой стабильности на валютном рынке</w:t>
      </w:r>
    </w:p>
    <w:p>
      <w:pPr>
        <w:spacing w:after="0" w:line="155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1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Устойчивость валютного рынка остается значимым фактором финансовой стабильности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Россия продолжает активную внешнюю торговлю с другими странами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обусловливает приток валюты в наш банковский сектор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 же время ограниченный доступ российских банков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" w:hanging="6"/>
        <w:spacing w:after="0" w:line="272" w:lineRule="exact"/>
        <w:tabs>
          <w:tab w:leader="none" w:pos="171" w:val="left"/>
        </w:tabs>
        <w:numPr>
          <w:ilvl w:val="0"/>
          <w:numId w:val="29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глобальному рынку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из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за валютного регулирования в дружественных странах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риска вторичных санкций и так далее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приводит к периодам повышенного спроса на валютные свопы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связано с потребностью банков в замещении определенного объема краткосрочного фондирования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целях управления ОВП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таких условиях актуальна задача Банка России по снижению уровня валютизации в банковском секторе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После введения США санкций в отношении ПАО Московская Биржа в июне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изменилась конфигурация российского валютного рынка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торговля долларом США и евро полностью переместилась на внебиржевой рынок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Банк России стал рассчитывать официальные курсы этих валют к рублю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оперативную отчетность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данного опыта в случае отсутствия надежных данных по рынкам отдельных валют будет предусмотрена возможность расчета их официальных курсов через кросс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курс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также продолжит совершенствовать форму отчетности по заключенным сделкам на валютном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28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0" w:hanging="6"/>
        <w:spacing w:after="0" w:line="274" w:lineRule="exact"/>
        <w:tabs>
          <w:tab w:leader="none" w:pos="201" w:val="left"/>
        </w:tabs>
        <w:numPr>
          <w:ilvl w:val="0"/>
          <w:numId w:val="29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девалютизации банковского баланса и выравнивания валютной позиции кредитных организаций Банк России в ближайшие годы при необходимости будет задействовать инструмент макропруденциальных надбавок по валютным кредитам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Надбавки в том числе могут быть установлены и по валютным кредитам экспортерам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хотя им свойственно естественное хеджирование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уменьшает кредитный риск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рост такого кредитования по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прежнему усиливает системные валютные риски и риски ликвидности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60"/>
        <w:spacing w:after="0" w:line="275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Ослабление требования по репатриации валютной выручки повышает гибкость ВЭД для нефинансовых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дает им возможность осуществлять платежи за импорт непосредственно на офшорном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 соответствии с законом крупнейшие экспортеры обязаны ежемесячно направлять в Банк России информацию о своих валютных активах и обязательствах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разрезе валют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поэтому ситуация по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прежнему будет оставаться прозрачной для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проводить мониторинг валютного рынка и выявлять потенциальный дисбаланс спроса и предложения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343" w:gutter="0" w:footer="0" w:header="0"/>
        </w:sectPr>
      </w:pPr>
    </w:p>
    <w:bookmarkStart w:id="74" w:name="page75"/>
    <w:bookmarkEnd w:id="7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6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406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0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jc w:val="right"/>
              <w:ind w:righ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4060" w:type="dxa"/>
            <w:vAlign w:val="bottom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5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Задача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2.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Развитие макропруденциального регулирования и анализа системных рисков</w:t>
      </w:r>
      <w:r>
        <w:rPr>
          <w:rFonts w:ascii="Arial" w:cs="Arial" w:eastAsia="Arial" w:hAnsi="Arial"/>
          <w:sz w:val="24"/>
          <w:szCs w:val="24"/>
          <w:color w:val="006391"/>
        </w:rPr>
        <w:t>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Повышение качества данных в системе кредитной информации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Одним из ключевых вызовов для Банка России на трехлетнем горизонте является рост долговой нагрузки населения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Достижение высокого уровня долговой нагрузки может привести при реализации рисков к повышенным потерям в банковском секторе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создать риски для реального сектора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иметь негативные социальные последствия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мере широкого проникновения кредитования макроэкономические риски могут усиливаться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даже если финансовый сектор будет защищен благодаря наличию буферов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Негативные последствия для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свою очередь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могут создавать вторичные эффекты и для финансового сектора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планирует продолжить мониторинг реализации на практике вступивших в силу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80" w:hanging="6"/>
        <w:spacing w:after="0" w:line="294" w:lineRule="auto"/>
        <w:tabs>
          <w:tab w:leader="none" w:pos="161" w:val="left"/>
        </w:tabs>
        <w:numPr>
          <w:ilvl w:val="0"/>
          <w:numId w:val="2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январе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законодательных изменений</w:t>
      </w:r>
      <w:r>
        <w:rPr>
          <w:rFonts w:ascii="Arial" w:cs="Arial" w:eastAsia="Arial" w:hAnsi="Arial"/>
          <w:sz w:val="11"/>
          <w:szCs w:val="11"/>
          <w:color w:val="auto"/>
        </w:rPr>
        <w:t>68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отношении показателя долговой нагрузки заемщика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ПДН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69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соответствии с которыми кредитные и микрофинансовые организации обязаны рассчитывать ПДН в установленных в законе случаях</w:t>
      </w:r>
      <w:r>
        <w:rPr>
          <w:rFonts w:ascii="Arial" w:cs="Arial" w:eastAsia="Arial" w:hAnsi="Arial"/>
          <w:sz w:val="11"/>
          <w:szCs w:val="11"/>
          <w:color w:val="auto"/>
        </w:rPr>
        <w:t>70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уведомлять заемщика</w:t>
      </w: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письменной форме о рисках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обусловленных высоким значением ПДН</w:t>
      </w:r>
      <w:r>
        <w:rPr>
          <w:rFonts w:ascii="Arial" w:cs="Arial" w:eastAsia="Arial" w:hAnsi="Arial"/>
          <w:sz w:val="11"/>
          <w:szCs w:val="11"/>
          <w:color w:val="auto"/>
        </w:rPr>
        <w:t>71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380" w:hanging="6"/>
        <w:spacing w:after="0" w:line="297" w:lineRule="auto"/>
        <w:tabs>
          <w:tab w:leader="none" w:pos="201" w:val="left"/>
        </w:tabs>
        <w:numPr>
          <w:ilvl w:val="0"/>
          <w:numId w:val="29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повышения эффективности макропруденциальных надбавок планируется рассмотреть возможность перехода к применению мультипликативного подхода к установлению макропруденциальных надбавок для всех банков по аналогии с ПВР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банками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 w:right="9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также будет проводить оценку и ограничение системных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расширением использования ЦФА и цифровых валют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3" w:lineRule="auto"/>
        <w:tabs>
          <w:tab w:leader="none" w:pos="201" w:val="left"/>
        </w:tabs>
        <w:numPr>
          <w:ilvl w:val="0"/>
          <w:numId w:val="29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целях ограничения системных рисков в ипотечном кредитовании приняты законодательные изменения</w:t>
      </w:r>
      <w:r>
        <w:rPr>
          <w:rFonts w:ascii="Arial" w:cs="Arial" w:eastAsia="Arial" w:hAnsi="Arial"/>
          <w:sz w:val="11"/>
          <w:szCs w:val="11"/>
          <w:color w:val="auto"/>
        </w:rPr>
        <w:t>72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закрепляют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апреля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за Банком России право устанавливать количественные ограничения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макропруденциальные лимиты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МПЛ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ипотеке и по автокредитам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по аналогии с МПЛ в необеспеченном потребительском кредитовании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Данный инструмент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позволит ограничить предоставление таких кредитов закредитованным заемщикам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ипотечных кредитов с небольшим первоначальным взносом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Одновременно установление МПЛ по рискованным ипотечным кредитам и автокредитам позволит снизить нагрузку на капитал банков за счет снижения запретительных требований к капиталу банков по таким кредитам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Рост кредитования в значительной степени происходит за счет крупных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реализуют масштабные инвестиционные проекты и чей спрос на кредиты менее чувствителен</w:t>
      </w:r>
    </w:p>
    <w:p>
      <w:pPr>
        <w:ind w:left="6" w:right="180" w:hanging="6"/>
        <w:spacing w:after="0" w:line="293" w:lineRule="auto"/>
        <w:tabs>
          <w:tab w:leader="none" w:pos="171" w:val="left"/>
        </w:tabs>
        <w:numPr>
          <w:ilvl w:val="0"/>
          <w:numId w:val="29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росту процентных ставок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сопровождается повышением концентрации кредитного портфеля у крупных банков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объем долговых обязательств шести крупнейших компаний</w:t>
      </w:r>
      <w:r>
        <w:rPr>
          <w:rFonts w:ascii="Arial" w:cs="Arial" w:eastAsia="Arial" w:hAnsi="Arial"/>
          <w:sz w:val="11"/>
          <w:szCs w:val="11"/>
          <w:color w:val="auto"/>
        </w:rPr>
        <w:t>73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отношению к капиталу банковского сектора вырос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68%,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между банками он распределен неравномерно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Поэтому Банк России будет не только ограничивать риски концентрации в кредитных требованиях 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совершенствуя требования к нормативам концентрации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на макроуровне ограничивать риски дальнейшего роста долговой нагрузки крупных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 которых она уже является высокой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планирует предусмотреть возможность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устанавливать для банков макропруденциальные надбавки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144780</wp:posOffset>
                </wp:positionV>
                <wp:extent cx="1259840" cy="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9" o:spid="_x0000_s10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.4pt" to="99.2pt,11.4pt" o:allowincell="f" strokecolor="#000000" strokeweight="0.25pt"/>
            </w:pict>
          </mc:Fallback>
        </mc:AlternateContent>
      </w:r>
    </w:p>
    <w:p>
      <w:pPr>
        <w:spacing w:after="0" w:line="345" w:lineRule="exact"/>
        <w:rPr>
          <w:sz w:val="20"/>
          <w:szCs w:val="20"/>
          <w:color w:val="auto"/>
        </w:rPr>
      </w:pPr>
    </w:p>
    <w:p>
      <w:pPr>
        <w:ind w:left="166" w:right="640" w:hanging="166"/>
        <w:spacing w:after="0" w:line="254" w:lineRule="auto"/>
        <w:tabs>
          <w:tab w:leader="none" w:pos="167" w:val="left"/>
        </w:tabs>
        <w:numPr>
          <w:ilvl w:val="0"/>
          <w:numId w:val="29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29.12.2022 № 601-ФЗ «О внесении изменений в Федеральный закон «О потребительском кредите (займе)».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520" w:hanging="166"/>
        <w:spacing w:after="0" w:line="254" w:lineRule="auto"/>
        <w:tabs>
          <w:tab w:leader="none" w:pos="172" w:val="left"/>
        </w:tabs>
        <w:numPr>
          <w:ilvl w:val="0"/>
          <w:numId w:val="29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Значение ПДН позволяет наглядно демонстрировать заемщику, какую часть своих доходов он должен направлять на погашение имеющихся кредитов (займов).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9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том числе при предоставлении кредитов (займов) до 10 тыс. рублей.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29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Свыше 50%.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1240" w:hanging="166"/>
        <w:spacing w:after="0" w:line="190" w:lineRule="exact"/>
        <w:tabs>
          <w:tab w:leader="none" w:pos="158" w:val="left"/>
        </w:tabs>
        <w:numPr>
          <w:ilvl w:val="0"/>
          <w:numId w:val="29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23.11.2024 № 414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изменения в статью 45.6 Федерального закона «О Центральном банке Российской Федерации (Банке России)».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29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Годовая выручка и объем обязательств компании на консолидированной основе превышают 1 трлн рублей.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357" w:gutter="0" w:footer="0" w:header="0"/>
        </w:sectPr>
      </w:pPr>
    </w:p>
    <w:bookmarkStart w:id="75" w:name="page76"/>
    <w:bookmarkEnd w:id="7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0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  <w:w w:val="95"/>
              </w:rPr>
              <w:t>72</w:t>
            </w: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3.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Направления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jc w:val="both"/>
        <w:ind w:left="6" w:right="54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новым кредитам и вложениям в облигации крупных корпоративных заемщиков с высоким уровнем долговой нагрузки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если такое финансирование приводит к росту их долга перед банком</w:t>
      </w:r>
      <w:r>
        <w:rPr>
          <w:rFonts w:ascii="Arial" w:cs="Arial" w:eastAsia="Arial" w:hAnsi="Arial"/>
          <w:sz w:val="11"/>
          <w:szCs w:val="11"/>
          <w:color w:val="auto"/>
        </w:rPr>
        <w:t>74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Анализ климатических рисков и разработка подходов к их регулированию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Вопросы управления физическими и переходными климатическими рисками остаются актуальными в контексте структурной трансформации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Они важны в том числе для выстраивания отношений с зарубежными партнерами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также придают важное значение вопросам экологии и климата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Результаты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тестирования переходных рисков методом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top-down</w:t>
      </w:r>
      <w:r>
        <w:rPr>
          <w:rFonts w:ascii="Arial" w:cs="Arial" w:eastAsia="Arial" w:hAnsi="Arial"/>
          <w:sz w:val="11"/>
          <w:szCs w:val="11"/>
          <w:color w:val="auto"/>
        </w:rPr>
        <w:t>75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были опубликованы в начале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течение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Банк России совместно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680" w:hanging="6"/>
        <w:spacing w:after="0" w:line="294" w:lineRule="auto"/>
        <w:tabs>
          <w:tab w:leader="none" w:pos="177" w:val="left"/>
        </w:tabs>
        <w:numPr>
          <w:ilvl w:val="0"/>
          <w:numId w:val="29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крупнейшими банками и другими участниками рынка реализует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тестирование методом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bottom-up</w:t>
      </w:r>
      <w:r>
        <w:rPr>
          <w:rFonts w:ascii="Arial" w:cs="Arial" w:eastAsia="Arial" w:hAnsi="Arial"/>
          <w:sz w:val="11"/>
          <w:szCs w:val="11"/>
          <w:color w:val="auto"/>
        </w:rPr>
        <w:t>76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продолжит работу по повышению доступности данных и совершенствованию подходов к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тестированию климатических рисков для оценки их влияния на финансовый рынок и российскую экономику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будут проработаны подходы к учету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ESG-</w:t>
      </w:r>
      <w:r>
        <w:rPr>
          <w:rFonts w:ascii="Arial" w:cs="Arial" w:eastAsia="Arial" w:hAnsi="Arial"/>
          <w:sz w:val="20"/>
          <w:szCs w:val="20"/>
          <w:color w:val="auto"/>
        </w:rPr>
        <w:t>рисков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климатических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регулировании и надзоре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Система кредитной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на постоянной основе осуществляет комплекс мероприятий по повышению качества данных в системе кредитной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целью функционирования которой является рост защищенности кредиторов и заемщиков за счет общего снижения кредитных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повышение эффективности предоставления и возврата заемных средств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является важными факторами сохранения устойчивости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4" w:lineRule="auto"/>
        <w:tabs>
          <w:tab w:leader="none" w:pos="201" w:val="left"/>
        </w:tabs>
        <w:numPr>
          <w:ilvl w:val="0"/>
          <w:numId w:val="29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связи с этим Банк России на основе правоприменительной практики и с учетом предложений участников рынка продолжит работу по совершенствованию порядка формирования кредитной истории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направленную на повышение качества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передаваемой в бюро кредитных историй источниками формирования кредитных историй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Работа в данном направлении позволит повысить точность расчета ПДН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Выявление проблем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непредставлением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несвоевременным представлением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294" w:lineRule="auto"/>
        <w:tabs>
          <w:tab w:leader="none" w:pos="186" w:val="left"/>
        </w:tabs>
        <w:numPr>
          <w:ilvl w:val="0"/>
          <w:numId w:val="30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особенно представлением некорректной информации об обязательствах заемщиков в бюро кредитных историй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БКИ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источниками формирования кредитных историй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профессиональными кредиторами</w:t>
      </w:r>
      <w:r>
        <w:rPr>
          <w:rFonts w:ascii="Arial" w:cs="Arial" w:eastAsia="Arial" w:hAnsi="Arial"/>
          <w:sz w:val="20"/>
          <w:szCs w:val="20"/>
          <w:color w:val="auto"/>
        </w:rPr>
        <w:t>) (</w:t>
      </w:r>
      <w:r>
        <w:rPr>
          <w:rFonts w:ascii="Arial" w:cs="Arial" w:eastAsia="Arial" w:hAnsi="Arial"/>
          <w:sz w:val="20"/>
          <w:szCs w:val="20"/>
          <w:color w:val="auto"/>
        </w:rPr>
        <w:t>далее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источники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ставит перед регулятором новые вызовы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связаны с необходимостью сосредоточения фокуса надзора за источниками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будет способствовать сохранению и укреплению финансовой стабильности и бесперебойности кредитного процесса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этих целей Банк России продолжит развитие и совершенствование процесса надзора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 источниками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основании риск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ориентированного подхода будет проверяться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весь путь формирования сведений о заемщиках и их обязательствах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 появления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информационных системах источников до кредитных отчетов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содержащих эти сведения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60" w:hanging="6"/>
        <w:spacing w:after="0" w:line="294" w:lineRule="auto"/>
        <w:tabs>
          <w:tab w:leader="none" w:pos="186" w:val="left"/>
        </w:tabs>
        <w:numPr>
          <w:ilvl w:val="0"/>
          <w:numId w:val="30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предоставляемых пользователям кредитных историй и субъектам кредитных историй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Данная работа направлена на обеспечение достоверности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полноты и актуальности данных в системе кредитной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используемых кредиторами для определения платежеспособности клиентов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принятия решений о выдаче кредитов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формирования резервов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следствие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нивелирование операционных рисков и рисков финансовых потерь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531495</wp:posOffset>
                </wp:positionV>
                <wp:extent cx="1259840" cy="0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0" o:spid="_x0000_s10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41.85pt" to="99.2pt,4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54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302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hyperlink r:id="rId39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Банк России принял ряд решений по банковскому регулированию</w:t>
        </w:r>
        <w:r>
          <w:rPr>
            <w:rFonts w:ascii="Arial" w:cs="Arial" w:eastAsia="Arial" w:hAnsi="Arial"/>
            <w:sz w:val="16"/>
            <w:szCs w:val="16"/>
            <w:color w:val="006391"/>
          </w:rPr>
          <w:t>.</w:t>
        </w:r>
      </w:hyperlink>
    </w:p>
    <w:p>
      <w:pPr>
        <w:spacing w:after="0" w:line="99" w:lineRule="exact"/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</w:p>
    <w:p>
      <w:pPr>
        <w:ind w:left="146" w:right="760" w:hanging="146"/>
        <w:spacing w:after="0" w:line="254" w:lineRule="auto"/>
        <w:tabs>
          <w:tab w:leader="none" w:pos="165" w:val="left"/>
        </w:tabs>
        <w:numPr>
          <w:ilvl w:val="0"/>
          <w:numId w:val="30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Обозначение подверженности рискам на агрегированном уровне с использованием ключевых факторов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таких как существенность риска по географическому положению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отрасли экономики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виду финансового продукта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520" w:hanging="146"/>
        <w:spacing w:after="0" w:line="254" w:lineRule="auto"/>
        <w:tabs>
          <w:tab w:leader="none" w:pos="153" w:val="left"/>
        </w:tabs>
        <w:numPr>
          <w:ilvl w:val="0"/>
          <w:numId w:val="30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Выявление существенных рисков на уровне активов или контрагентов и последующее суммирование этих рисков для их оценки на портфельном уровне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bookmarkStart w:id="76" w:name="page77"/>
    <w:bookmarkEnd w:id="76"/>
    <w:tbl>
      <w:tblPr>
        <w:tblLayout w:type="fixed"/>
        <w:tblInd w:w="534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368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368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368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1" o:spid="_x0000_s10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ind w:left="6" w:right="1240"/>
        <w:spacing w:after="0" w:line="26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РАЗДЕЛ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4.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РИСКИ ДЛЯ РАЗВИТИЯ РОССИЙСКОГО ФИНАНСОВОГО РЫНКА</w: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подготовке и реализации ОНРФР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25 – 27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учитываются внутренние и внешние факторы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оказывать серьезное влияние на российскую экономику и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скорость и масштаб происходящих изменений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перспективы развития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Банк России проводит постоянный мониторинг ситуации и оценку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реализация которых может препятствовать проведению или влиять на проведение мероприятий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намеченных Банком России и Правительством Российской Федерации в сфере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либо ограничивать их эффективность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и Правительство Российской Федерации принимают меры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предотвращение реализации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в случае их реализации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ограничение негативных эффектов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 же время некоторые риски носят преимущественно экзогенный характер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 есть не зависят от действий регулятора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должны учитываться при проведении политики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Геополитические факторы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Значимые риски для развития российского финансового рынка на трехлетнем горизонте несет геополитическая ситуация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усиления санкционного давления это может создавать дополнительные ограничения для российской экономики 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осложнять взаимодействие с дружественными странами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этих условиях может потребоваться более длительное время для структурной трансформации российской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на финансовый рынок могут влиять санкции в отношении не только непосредственно финансовых организаций и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российской экономики и реального сектора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Ухудшение ситуации в экономике отражается на потенциале формирования сбережений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30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трансформации их в инвестиции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происходят через финансовый рынок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готовности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30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возможности граждан и бизнеса приобретать различные товары и услуги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Повышение неопределенности в отношении как экономической динамики в 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2" w:lineRule="auto"/>
        <w:tabs>
          <w:tab w:leader="none" w:pos="186" w:val="left"/>
        </w:tabs>
        <w:numPr>
          <w:ilvl w:val="0"/>
          <w:numId w:val="30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перспектив развития бизнеса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устойчивости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доходов домашних хозяйств усиливает риски для финансовых посредников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институциональных и частных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отражается на процентных ставках и возможности расширять финансирование через долговые и долевые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Санкции также могут создавать риски удлинения сроков или повышения издержек реализации проектов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использующих определенные 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поиск</w:t>
      </w: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30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разработка аналогов могут потребовать дополнительного времени и финансирования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усилении санкционного давления может понадобиться дополнительная поддержка экономики и финансового рынка со стороны Банка России и Правительства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меры по сохранению системной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Вместе с тем Банк России и Правительство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реализуя меры по развитию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20" w:hanging="6"/>
        <w:spacing w:after="0" w:line="295" w:lineRule="auto"/>
        <w:tabs>
          <w:tab w:leader="none" w:pos="186" w:val="left"/>
        </w:tabs>
        <w:numPr>
          <w:ilvl w:val="0"/>
          <w:numId w:val="30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укреплению устойчивости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учитывают риски санкций и прорабатывают не восприимчивые к санкционным ограничениям решения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дополнительно адаптирует и совершенствует подходы к мониторингу и инструменты обеспечения системной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Глобальные макроэкономические факторы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Тенденции в мировой экономике и политике несут значимые глобальные риски системного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820" w:hanging="6"/>
        <w:spacing w:after="0" w:line="301" w:lineRule="auto"/>
        <w:tabs>
          <w:tab w:leader="none" w:pos="186" w:val="left"/>
        </w:tabs>
        <w:numPr>
          <w:ilvl w:val="0"/>
          <w:numId w:val="3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макроэкономического характера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одной стороны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мировой экономике продолжается процесс постепенной трансформации устоявшегося порядка и связей между странами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96" w:gutter="0" w:footer="0" w:header="0"/>
        </w:sectPr>
      </w:pPr>
    </w:p>
    <w:bookmarkStart w:id="77" w:name="page78"/>
    <w:bookmarkEnd w:id="7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0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74</w:t>
            </w: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4.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Риски для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0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ind w:left="2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сформировавшихся за предыдущие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30 – 40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лет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Эпоха глобализации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построенная на разделении труда и широкой кооперации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сменяется периодом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котором страны все в большей степени фокусируются на вопросах соперничества и ограничения доступа конкурентов к своей экономике и технологиям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Вместо единого взаимосвязанного пространства появляются региональные блоки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мир становится все более фрагментированным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Эти процессы негативно влияют на мировую торговлю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существенно ограничивая ее рост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другой стороны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пока остаются нерешенными и проблемы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накопленные за время постпандемического восстановления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Инфляция в мире продолжает снижаться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остается все еще выше целевых уровней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4" w:lineRule="auto"/>
        <w:tabs>
          <w:tab w:leader="none" w:pos="174" w:val="left"/>
        </w:tabs>
        <w:numPr>
          <w:ilvl w:val="0"/>
          <w:numId w:val="30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большинстве экономик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 медленное по сравнению с ожиданиями возвращение инфляции к целевому уровню в странах с развитой экономикой говорит о 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неопределенность относительно будущей траектории ставок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времени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необходимо для полного проявления воздействия всех эффектов на экономику и финансовую систему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сохраняется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значит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развитие масштабного финансового кризиса нельзя исключать</w:t>
      </w:r>
      <w:r>
        <w:rPr>
          <w:rFonts w:ascii="Arial" w:cs="Arial" w:eastAsia="Arial" w:hAnsi="Arial"/>
          <w:sz w:val="11"/>
          <w:szCs w:val="11"/>
          <w:color w:val="auto"/>
        </w:rPr>
        <w:t>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275" w:lineRule="exact"/>
        <w:tabs>
          <w:tab w:leader="none" w:pos="201" w:val="left"/>
        </w:tabs>
        <w:numPr>
          <w:ilvl w:val="0"/>
          <w:numId w:val="30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случае развития кризисных явлений замедление или снижение экономической активности в странах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торговых партнерах России и падение цен на мировых товарных рынках отразятся в ослаблении внешнего спроса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снижении доходов России от экспорта и замедлении экономической активности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этих условиях структурная трансформация российской экономики потребует более длительного времени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потенциал участия финансового рынка в финансировании трансформации на какое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то время будет ограничен на фоне более низких доходов в экономике и возможностей для формирования сбережений и инвестиций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Другой внешний фактор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имеет значение</w:t>
      </w:r>
      <w:r>
        <w:rPr>
          <w:rFonts w:ascii="Arial" w:cs="Arial" w:eastAsia="Arial" w:hAnsi="Arial"/>
          <w:sz w:val="20"/>
          <w:szCs w:val="20"/>
          <w:color w:val="auto"/>
        </w:rPr>
        <w:t>,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распространение цифровых денежных суррогатов в мире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таких как криптовалюты и стейблкойны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отсутствии глобального регулирования могут усилиться тенденции их использования в расчетах вместо национальных валют и значимого распространения в мире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принимаемые отдельными странами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могут быть недостаточными для ограничения этих рисков в рамках национальных экономик ввиду трансграничной и экстерриториальной природы современных денежных суррогатов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Внутренние макроэкономические факторы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93" w:lineRule="auto"/>
        <w:tabs>
          <w:tab w:leader="none" w:pos="201" w:val="left"/>
        </w:tabs>
        <w:numPr>
          <w:ilvl w:val="0"/>
          <w:numId w:val="30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любой экономике основные внутренние макроэкономические риски связаны с риском значительных колебаний делового цикла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Данные колебания главным образом определяются изменениями совокупного спроса и кредитным циклом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 периоды перегрева экономики могут создаваться предпосылки для последующего спада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Чрезмерный рост кредита частному сектору в период экономического бума способен создавать угрозу как для ценовой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для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через влияние на рост цен финансовых и реальных активов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Падение цен в период экономического спада может усугубить негативные последствия для финансового рынка и экономики в целом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Макроэкономические риски также могут усиливаться вследствие значительного структурного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дефицита бюджетной 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несоразмерного государственного долга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высокой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чувствительности экономики и бюджета к внешнеэкономической конъюнктуре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Недостаточная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гибкость государственных финансов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отсутствие необходимого бюджетного резерва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реагирования на внешние или внутренние шоки способны спровоцировать проциклическое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сжатие бюджетных расходов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может усилить вызванный этими шоками экономический спад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вместо того чтобы за счет контрциклической бюджетной политики сгладить последствия подобных шоков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значительного роста государственного долга может возникать эффект вытеснения частных заимствований государственными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несет риски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55245</wp:posOffset>
                </wp:positionV>
                <wp:extent cx="1259840" cy="0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2" o:spid="_x0000_s10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4.35pt" to="99.2pt,4.3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p>
      <w:pPr>
        <w:spacing w:after="0" w:line="225" w:lineRule="exact"/>
        <w:rPr>
          <w:sz w:val="20"/>
          <w:szCs w:val="20"/>
          <w:color w:val="auto"/>
        </w:rPr>
      </w:pPr>
    </w:p>
    <w:p>
      <w:pPr>
        <w:ind w:left="86" w:right="460" w:hanging="86"/>
        <w:spacing w:after="0" w:line="254" w:lineRule="auto"/>
        <w:tabs>
          <w:tab w:leader="none" w:pos="86" w:val="left"/>
        </w:tabs>
        <w:numPr>
          <w:ilvl w:val="0"/>
          <w:numId w:val="31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Подробное описание рискового сценария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(</w:t>
      </w:r>
      <w:r>
        <w:rPr>
          <w:rFonts w:ascii="Arial" w:cs="Arial" w:eastAsia="Arial" w:hAnsi="Arial"/>
          <w:sz w:val="16"/>
          <w:szCs w:val="16"/>
          <w:color w:val="auto"/>
        </w:rPr>
        <w:t>под условным названием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«</w:t>
      </w:r>
      <w:r>
        <w:rPr>
          <w:rFonts w:ascii="Arial" w:cs="Arial" w:eastAsia="Arial" w:hAnsi="Arial"/>
          <w:sz w:val="16"/>
          <w:szCs w:val="16"/>
          <w:color w:val="auto"/>
        </w:rPr>
        <w:t>Глобальный кризис</w:t>
      </w:r>
      <w:r>
        <w:rPr>
          <w:rFonts w:ascii="Arial" w:cs="Arial" w:eastAsia="Arial" w:hAnsi="Arial"/>
          <w:sz w:val="16"/>
          <w:szCs w:val="16"/>
          <w:color w:val="auto"/>
        </w:rPr>
        <w:t>»)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представлено в проекте ОНЕГДКП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25 – 27.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  <w:type w:val="continuous"/>
        </w:sectPr>
      </w:pPr>
    </w:p>
    <w:bookmarkStart w:id="78" w:name="page79"/>
    <w:bookmarkEnd w:id="7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30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9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30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4.</w:t>
            </w:r>
          </w:p>
        </w:tc>
        <w:tc>
          <w:tcPr>
            <w:tcW w:w="192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Риски для развития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8"/>
        </w:trPr>
        <w:tc>
          <w:tcPr>
            <w:tcW w:w="30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</w:t>
            </w:r>
          </w:p>
        </w:tc>
        <w:tc>
          <w:tcPr>
            <w:tcW w:w="192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30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9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jc w:val="both"/>
        <w:ind w:left="6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сужения источников финансирования частных проектов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снижения стимулов для развития инструментов финансирования таких проектов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3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Проводимая макроэкономическая политика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направленная на поддержание ценовой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бюджетной устойчивости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формирование условий для устойчивого</w:t>
      </w:r>
    </w:p>
    <w:p>
      <w:pPr>
        <w:ind w:left="6" w:right="340" w:hanging="6"/>
        <w:spacing w:after="0" w:line="292" w:lineRule="auto"/>
        <w:tabs>
          <w:tab w:leader="none" w:pos="186" w:val="left"/>
        </w:tabs>
        <w:numPr>
          <w:ilvl w:val="0"/>
          <w:numId w:val="31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сбалансированного экономического роста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вкупе с политикой поддержания финансовой стабильности направлены на то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минимизировать данные риски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прозрачность</w:t>
      </w:r>
    </w:p>
    <w:p>
      <w:pPr>
        <w:jc w:val="both"/>
        <w:ind w:left="6" w:right="440" w:hanging="6"/>
        <w:spacing w:after="0" w:line="292" w:lineRule="auto"/>
        <w:tabs>
          <w:tab w:leader="none" w:pos="186" w:val="left"/>
        </w:tabs>
        <w:numPr>
          <w:ilvl w:val="0"/>
          <w:numId w:val="31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последовательность проводимой макроэкономической политики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наряду с наличием качественной и доступной участникам рынка информации об эмитентах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контрагентах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общерыночных индикаторах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являются непременными условиями для принятия экономически обоснованных инвестиционных 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формирования релевантных уровней доходностей</w:t>
      </w: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31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премий за риск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Интенсификация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ESG-</w:t>
      </w:r>
      <w:r>
        <w:rPr>
          <w:rFonts w:ascii="Arial" w:cs="Arial" w:eastAsia="Arial" w:hAnsi="Arial"/>
          <w:sz w:val="20"/>
          <w:szCs w:val="20"/>
          <w:color w:val="006391"/>
        </w:rPr>
        <w:t>повестки в мире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ускоренном внедрении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ESG-</w:t>
      </w:r>
      <w:r>
        <w:rPr>
          <w:rFonts w:ascii="Arial" w:cs="Arial" w:eastAsia="Arial" w:hAnsi="Arial"/>
          <w:sz w:val="20"/>
          <w:szCs w:val="20"/>
          <w:color w:val="auto"/>
        </w:rPr>
        <w:t>регулирования в мире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переориентации глобальной экономической политики и финансовых рынков на факторы устойчивого развития и в случае отставания России от указанных мировых тенденций существенно возрастут риски снижения конкурентоспособности и инвестиционной привлекательности российской экономики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680" w:hanging="6"/>
        <w:spacing w:after="0" w:line="292" w:lineRule="auto"/>
        <w:tabs>
          <w:tab w:leader="none" w:pos="186" w:val="left"/>
        </w:tabs>
        <w:numPr>
          <w:ilvl w:val="0"/>
          <w:numId w:val="31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финансового рынка для иностранных инвесторов из дружественных стран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усилении указанных рисков может потребоваться оперативная корректировка планов развития отечественного финансового рынка в сторону дополнительного смещения приоритетов</w:t>
      </w:r>
    </w:p>
    <w:p>
      <w:pPr>
        <w:ind w:left="6" w:right="24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пользу ускоренной реализации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ESG-</w:t>
      </w:r>
      <w:r>
        <w:rPr>
          <w:rFonts w:ascii="Arial" w:cs="Arial" w:eastAsia="Arial" w:hAnsi="Arial"/>
          <w:sz w:val="20"/>
          <w:szCs w:val="20"/>
          <w:color w:val="auto"/>
        </w:rPr>
        <w:t>повестки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учитывая объективные временны</w:t>
      </w:r>
      <w:r>
        <w:rPr>
          <w:rFonts w:ascii="Arial" w:cs="Arial" w:eastAsia="Arial" w:hAnsi="Arial"/>
          <w:sz w:val="20"/>
          <w:szCs w:val="20"/>
          <w:color w:val="auto"/>
        </w:rPr>
        <w:t>´</w:t>
      </w:r>
      <w:r>
        <w:rPr>
          <w:rFonts w:ascii="Arial" w:cs="Arial" w:eastAsia="Arial" w:hAnsi="Arial"/>
          <w:sz w:val="20"/>
          <w:szCs w:val="20"/>
          <w:color w:val="auto"/>
        </w:rPr>
        <w:t>е и ресурсные ограничения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Хотя на фоне современных тенденций на мировом энергетическом рынке внимание стран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ESG-</w:t>
      </w:r>
      <w:r>
        <w:rPr>
          <w:rFonts w:ascii="Arial" w:cs="Arial" w:eastAsia="Arial" w:hAnsi="Arial"/>
          <w:sz w:val="20"/>
          <w:szCs w:val="20"/>
          <w:color w:val="auto"/>
        </w:rPr>
        <w:t>повестке временно несколько ослабло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дальнейшем движение в этом направлении может ускориться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32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 xml:space="preserve">Банк России и Правительство Российской Федерации продолжат создавать условия для развития </w:t>
      </w:r>
      <w:r>
        <w:rPr>
          <w:rFonts w:ascii="Arial" w:cs="Arial" w:eastAsia="Arial" w:hAnsi="Arial"/>
          <w:sz w:val="19"/>
          <w:szCs w:val="19"/>
          <w:color w:val="auto"/>
        </w:rPr>
        <w:t>ESG-</w:t>
      </w:r>
      <w:r>
        <w:rPr>
          <w:rFonts w:ascii="Arial" w:cs="Arial" w:eastAsia="Arial" w:hAnsi="Arial"/>
          <w:sz w:val="19"/>
          <w:szCs w:val="19"/>
          <w:color w:val="auto"/>
        </w:rPr>
        <w:t>финансирования в России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что будет вносить свой вклад в модернизацию российской экономики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</w:p>
    <w:p>
      <w:pPr>
        <w:spacing w:after="0" w:line="34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Межведомственное взаимодействие и институциональные факторы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ОНРФР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25 – 27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носят целостный взаимосвязанный характер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максимальный эффект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7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 их исполнения может быть достигнут только при комплексной реализации мер всеми задействованными сторонами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Увеличение фактических сроков разработки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рассмотрения</w:t>
      </w:r>
    </w:p>
    <w:p>
      <w:pPr>
        <w:ind w:left="6" w:right="80" w:hanging="6"/>
        <w:spacing w:after="0" w:line="292" w:lineRule="auto"/>
        <w:tabs>
          <w:tab w:leader="none" w:pos="186" w:val="left"/>
        </w:tabs>
        <w:numPr>
          <w:ilvl w:val="0"/>
          <w:numId w:val="3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принятия законодательных изменений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проведения иных необходимых многосторонних мероприятий относительно исходных сроков может уменьшать эффективность и скорость реализации планов по развитию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снижать доверие рынка к заявленным намерениям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Значимым фактором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требующим внимания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является динамичное</w:t>
      </w: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3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своевременное внедрение инновационных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применяемых регулятором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3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государственными органами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Государственные институты должны оперативно реагировать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9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происходящие изменения в технологической сфере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повысит скорость и качество взаимодействия между ними и участниками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источником рисков для развития финансового рынка может быть продолжительное сохранение тех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были введены в качестве антикризисных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</w:t>
      </w:r>
    </w:p>
    <w:p>
      <w:pPr>
        <w:ind w:left="6" w:right="40" w:hanging="6"/>
        <w:spacing w:after="0" w:line="292" w:lineRule="auto"/>
        <w:tabs>
          <w:tab w:leader="none" w:pos="174" w:val="left"/>
        </w:tabs>
        <w:numPr>
          <w:ilvl w:val="0"/>
          <w:numId w:val="31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части ограниченного раскрытия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Закрытие компаниями информации ограничивает возможности акционеров и инвесторов по качественной оценке компаний при вложении средств</w:t>
      </w: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31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инструменты рынка капитала и управлению инвестициями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767" w:gutter="0" w:footer="0" w:header="0"/>
        </w:sectPr>
      </w:pPr>
    </w:p>
    <w:bookmarkStart w:id="79" w:name="page80"/>
    <w:bookmarkEnd w:id="7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76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Раздел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4.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Риски для развития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российского финансового рынка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менее важную роль играет защита прав акционеров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миноритарных акционеров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 также эффективность и качество судебной защиты законных приобретателей акций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организованных торгах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Риски ущемления прав акционеров не только существенно снижают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доверие граждан к рынку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могут привести к потере доверия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Ограничение рисков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закрытием информации и нарушением прав акционеров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имеет принципиальное значение для решения задачи повышения роли внутренних источников финансирования экономики через инструменты рынка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Ресурсное обеспечение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Недостаточное финансирование мероприятий ОНРФР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25 – 27,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дефицит ресурсов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94" w:lineRule="auto"/>
        <w:tabs>
          <w:tab w:leader="none" w:pos="170" w:val="left"/>
        </w:tabs>
        <w:numPr>
          <w:ilvl w:val="0"/>
          <w:numId w:val="31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участников рынка на реализацию запланированных мер могут привести к замедлению или препятствовать реализации намеченных планов и достижению заявленных результатов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недостаточное финансовое обеспечение со стороны государства для создания экономических стимулов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 на развитие долгосрочных накоплений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особенно ограничить потенциал развития рынка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Таким образом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основные риски для развития российской экономики и финансового рынка связаны с внешними экономическими и геополитическими факторами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Они также лежат в основе рискового сценария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 условным названием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Глобальный кризис</w:t>
      </w:r>
      <w:r>
        <w:rPr>
          <w:rFonts w:ascii="Arial" w:cs="Arial" w:eastAsia="Arial" w:hAnsi="Arial"/>
          <w:sz w:val="20"/>
          <w:szCs w:val="20"/>
          <w:color w:val="auto"/>
        </w:rPr>
        <w:t>»),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представленного в линейке среднесрочных сценариев в ОНЕГДКП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25 – 27,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где приведены его основные параметры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Базовый сценарий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опубликованный в ОНЕГДКП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25 – 27,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рассматривается как основной при подготовке ОНРФР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25 – 27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разработке мероприятий в сфере развития российского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440" w:gutter="0" w:footer="0" w:header="0"/>
        </w:sectPr>
      </w:pPr>
    </w:p>
    <w:bookmarkStart w:id="80" w:name="page81"/>
    <w:bookmarkEnd w:id="80"/>
    <w:tbl>
      <w:tblPr>
        <w:tblLayout w:type="fixed"/>
        <w:tblInd w:w="534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368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368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368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3" o:spid="_x0000_s10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ПРИЛОЖЕНИЯ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5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Приложение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1.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Индикаторы мониторинга развития финансового рынка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6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Цели и направления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представленные в разделах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ОНРФР </w:t>
      </w:r>
      <w:r>
        <w:rPr>
          <w:rFonts w:ascii="Arial" w:cs="Arial" w:eastAsia="Arial" w:hAnsi="Arial"/>
          <w:sz w:val="20"/>
          <w:szCs w:val="20"/>
          <w:color w:val="auto"/>
        </w:rPr>
        <w:t>25 – 27,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учитывают актуальные задачи социально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экономического развития страны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текущие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тенденции и вызовы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Достижению каждой из трех целей способствует работа сразу по нескольким направлениям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Схематично взаимосвязь целей и направлений показана в таблице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мониторинга движения к реализации трех целей развития финансового рынка Банк России ориентируется на набор комплексных агрегированных индикаторов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представленный в таблице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6119495" cy="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4" o:spid="_x0000_s10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0.8pt" to="481.85pt,10.8pt" o:allowincell="f" strokecolor="#006391" strokeweight="0.25pt"/>
            </w:pict>
          </mc:Fallback>
        </mc:AlternateContent>
      </w:r>
    </w:p>
    <w:p>
      <w:pPr>
        <w:spacing w:after="0" w:line="254" w:lineRule="exact"/>
        <w:rPr>
          <w:sz w:val="20"/>
          <w:szCs w:val="20"/>
          <w:color w:val="auto"/>
        </w:rPr>
      </w:pPr>
    </w:p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8"/>
        </w:trPr>
        <w:tc>
          <w:tcPr>
            <w:tcW w:w="782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77"/>
              </w:rPr>
              <w:t>АГРЕГИРОВАННЫЕ ИНДИКАТОРЫ МОНИТОРИНГА СОСТОЯНИЯ И РАЗВИТИЯ ФИНАНСОВОГО РЫНКА</w:t>
            </w:r>
          </w:p>
        </w:tc>
        <w:tc>
          <w:tcPr>
            <w:tcW w:w="1820" w:type="dxa"/>
            <w:vAlign w:val="bottom"/>
            <w:gridSpan w:val="2"/>
          </w:tcPr>
          <w:p>
            <w:pPr>
              <w:ind w:left="1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3"/>
              </w:rPr>
              <w:t>Табл</w:t>
            </w: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3"/>
              </w:rPr>
              <w:t>. 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7"/>
        </w:trPr>
        <w:tc>
          <w:tcPr>
            <w:tcW w:w="58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380" w:type="dxa"/>
            <w:vAlign w:val="bottom"/>
            <w:tcBorders>
              <w:bottom w:val="single" w:sz="8" w:color="006391"/>
            </w:tcBorders>
            <w:gridSpan w:val="2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0"/>
        </w:trPr>
        <w:tc>
          <w:tcPr>
            <w:tcW w:w="58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</w:tcPr>
          <w:p>
            <w:pPr>
              <w:ind w:left="17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</w:rPr>
              <w:t>Индикаторы</w:t>
            </w: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  <w:w w:val="84"/>
              </w:rPr>
              <w:t>Текущее значение</w:t>
            </w:r>
          </w:p>
        </w:tc>
        <w:tc>
          <w:tcPr>
            <w:tcW w:w="2400" w:type="dxa"/>
            <w:vAlign w:val="bottom"/>
            <w:gridSpan w:val="3"/>
          </w:tcPr>
          <w:p>
            <w:pPr>
              <w:jc w:val="center"/>
              <w:ind w:righ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  <w:w w:val="85"/>
              </w:rPr>
              <w:t>Ожидаемая динамика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6"/>
        </w:trPr>
        <w:tc>
          <w:tcPr>
            <w:tcW w:w="580" w:type="dxa"/>
            <w:vAlign w:val="bottom"/>
            <w:tcBorders>
              <w:bottom w:val="single" w:sz="8" w:color="006391"/>
              <w:right w:val="single" w:sz="8" w:color="9B8984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bottom w:val="single" w:sz="8" w:color="006391"/>
              <w:right w:val="single" w:sz="8" w:color="9B8984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bottom w:val="single" w:sz="8" w:color="006391"/>
              <w:right w:val="single" w:sz="8" w:color="9B8984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7"/>
                <w:szCs w:val="1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8"/>
        </w:trPr>
        <w:tc>
          <w:tcPr>
            <w:tcW w:w="58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1</w:t>
            </w: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Отношение активов финансовых организаций к ВВП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 %</w:t>
            </w: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73"/>
              </w:rPr>
              <w:t>131,5*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820" w:type="dxa"/>
            <w:vAlign w:val="bottom"/>
            <w:gridSpan w:val="2"/>
            <w:vMerge w:val="restart"/>
          </w:tcPr>
          <w:p>
            <w:pPr>
              <w:jc w:val="center"/>
              <w:ind w:righ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Рост индикатора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5"/>
        </w:trPr>
        <w:tc>
          <w:tcPr>
            <w:tcW w:w="58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 xml:space="preserve"> 01.10.2024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8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58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1"/>
        </w:trPr>
        <w:tc>
          <w:tcPr>
            <w:tcW w:w="58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9"/>
        </w:trPr>
        <w:tc>
          <w:tcPr>
            <w:tcW w:w="58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2</w:t>
            </w: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Отношение капитализации фондового рынка к ВВП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 %</w:t>
            </w: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5"/>
              </w:rPr>
              <w:t>25,4*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20" w:type="dxa"/>
            <w:vAlign w:val="bottom"/>
            <w:gridSpan w:val="2"/>
            <w:vMerge w:val="restart"/>
          </w:tcPr>
          <w:p>
            <w:pPr>
              <w:jc w:val="center"/>
              <w:ind w:righ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Рост индикатора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5"/>
        </w:trPr>
        <w:tc>
          <w:tcPr>
            <w:tcW w:w="58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 xml:space="preserve"> 01.12.2024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8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58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7"/>
        </w:trPr>
        <w:tc>
          <w:tcPr>
            <w:tcW w:w="58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9"/>
        </w:trPr>
        <w:tc>
          <w:tcPr>
            <w:tcW w:w="58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3</w:t>
            </w: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5"/>
              </w:rPr>
              <w:t>Доля долгосрочных сбережений граждан в общем объеме</w:t>
            </w: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5"/>
              </w:rPr>
              <w:t>35,5*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820" w:type="dxa"/>
            <w:vAlign w:val="bottom"/>
            <w:gridSpan w:val="2"/>
            <w:vMerge w:val="restart"/>
          </w:tcPr>
          <w:p>
            <w:pPr>
              <w:jc w:val="center"/>
              <w:ind w:righ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Рост индикатора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5"/>
        </w:trPr>
        <w:tc>
          <w:tcPr>
            <w:tcW w:w="58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их сбережений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 %</w:t>
            </w: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 xml:space="preserve"> 01.10.2024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8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2"/>
        </w:trPr>
        <w:tc>
          <w:tcPr>
            <w:tcW w:w="58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4"/>
        </w:trPr>
        <w:tc>
          <w:tcPr>
            <w:tcW w:w="580" w:type="dxa"/>
            <w:vAlign w:val="bottom"/>
            <w:tcBorders>
              <w:top w:val="single" w:sz="8" w:color="auto"/>
              <w:right w:val="single" w:sz="8" w:color="9B8984"/>
            </w:tcBorders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4</w:t>
            </w:r>
          </w:p>
        </w:tc>
        <w:tc>
          <w:tcPr>
            <w:tcW w:w="4260" w:type="dxa"/>
            <w:vAlign w:val="bottom"/>
            <w:tcBorders>
              <w:top w:val="single" w:sz="8" w:color="auto"/>
              <w:right w:val="single" w:sz="8" w:color="9B8984"/>
            </w:tcBorders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>Уровень цифровизации финансовых услуг для физических лиц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4"/>
              </w:rPr>
              <w:t>, %</w:t>
            </w:r>
          </w:p>
        </w:tc>
        <w:tc>
          <w:tcPr>
            <w:tcW w:w="2400" w:type="dxa"/>
            <w:vAlign w:val="bottom"/>
            <w:tcBorders>
              <w:top w:val="single" w:sz="8" w:color="auto"/>
              <w:right w:val="single" w:sz="8" w:color="9B8984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83,4</w:t>
            </w:r>
          </w:p>
        </w:tc>
        <w:tc>
          <w:tcPr>
            <w:tcW w:w="580" w:type="dxa"/>
            <w:vAlign w:val="bottom"/>
            <w:tcBorders>
              <w:top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top w:val="single" w:sz="8" w:color="auto"/>
            </w:tcBorders>
            <w:vMerge w:val="restart"/>
          </w:tcPr>
          <w:p>
            <w:pPr>
              <w:jc w:val="center"/>
              <w:ind w:right="51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Рост индикатора</w:t>
            </w:r>
          </w:p>
        </w:tc>
        <w:tc>
          <w:tcPr>
            <w:tcW w:w="40" w:type="dxa"/>
            <w:vAlign w:val="bottom"/>
            <w:vMerge w:val="restart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5"/>
        </w:trPr>
        <w:tc>
          <w:tcPr>
            <w:tcW w:w="58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 xml:space="preserve"> 31.12.2023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80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58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81"/>
        </w:trPr>
        <w:tc>
          <w:tcPr>
            <w:tcW w:w="58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47"/>
        </w:trPr>
        <w:tc>
          <w:tcPr>
            <w:tcW w:w="58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5</w:t>
            </w: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Уровень цифровизации финансовых услуг для юридических лиц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, %</w:t>
            </w: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9"/>
              </w:rPr>
              <w:t>80,2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1820" w:type="dxa"/>
            <w:vAlign w:val="bottom"/>
            <w:gridSpan w:val="2"/>
            <w:vMerge w:val="restart"/>
          </w:tcPr>
          <w:p>
            <w:pPr>
              <w:jc w:val="center"/>
              <w:ind w:righ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Рост индикатора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5"/>
        </w:trPr>
        <w:tc>
          <w:tcPr>
            <w:tcW w:w="58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0"/>
              </w:rPr>
              <w:t xml:space="preserve"> 31.12.2023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8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58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4"/>
        </w:trPr>
        <w:tc>
          <w:tcPr>
            <w:tcW w:w="58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26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2400" w:type="dxa"/>
            <w:vAlign w:val="bottom"/>
            <w:tcBorders>
              <w:bottom w:val="single" w:sz="8" w:color="auto"/>
              <w:right w:val="single" w:sz="8" w:color="9B8984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0</wp:posOffset>
                </wp:positionV>
                <wp:extent cx="0" cy="392430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924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5" o:spid="_x0000_s10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8.3pt,0pt" to="28.3pt,30.9pt" o:allowincell="f" strokecolor="#9B8984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440" w:gutter="0" w:footer="0" w:header="0"/>
        </w:sectPr>
      </w:pP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6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ind w:left="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7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422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1"/>
              </w:rPr>
              <w:t>Композитный индекс удовлетворенности населения работой</w:t>
            </w:r>
          </w:p>
        </w:tc>
        <w:tc>
          <w:tcPr>
            <w:tcW w:w="13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56,6</w:t>
            </w:r>
          </w:p>
        </w:tc>
        <w:tc>
          <w:tcPr>
            <w:tcW w:w="106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7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422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6"/>
              </w:rPr>
              <w:t>финансовых организаций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6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6"/>
              </w:rPr>
              <w:t xml:space="preserve"> финансовыми продуктами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6"/>
              </w:rPr>
              <w:t xml:space="preserve"> (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6"/>
              </w:rPr>
              <w:t>услугами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6"/>
              </w:rPr>
              <w:t>)</w:t>
            </w:r>
          </w:p>
        </w:tc>
        <w:tc>
          <w:tcPr>
            <w:tcW w:w="134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720" w:type="dxa"/>
            <w:vAlign w:val="bottom"/>
            <w:vMerge w:val="restart"/>
          </w:tcPr>
          <w:p>
            <w:pPr>
              <w:ind w:left="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1"/>
              </w:rPr>
              <w:t>Рост индикатора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422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3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май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2024</w:t>
            </w:r>
          </w:p>
        </w:tc>
        <w:tc>
          <w:tcPr>
            <w:tcW w:w="106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года</w:t>
            </w:r>
          </w:p>
        </w:tc>
        <w:tc>
          <w:tcPr>
            <w:tcW w:w="172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5"/>
        </w:trPr>
        <w:tc>
          <w:tcPr>
            <w:tcW w:w="422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7"/>
              </w:rPr>
              <w:t>и каналами предоставления финансовых услуг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7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7"/>
              </w:rPr>
              <w:t xml:space="preserve"> баллов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7"/>
              </w:rPr>
              <w:t>**</w:t>
            </w:r>
          </w:p>
        </w:tc>
        <w:tc>
          <w:tcPr>
            <w:tcW w:w="134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7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0"/>
        </w:trPr>
        <w:tc>
          <w:tcPr>
            <w:tcW w:w="422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7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-397510</wp:posOffset>
                </wp:positionH>
                <wp:positionV relativeFrom="paragraph">
                  <wp:posOffset>1270</wp:posOffset>
                </wp:positionV>
                <wp:extent cx="6118225" cy="0"/>
                <wp:wrapNone/>
                <wp:docPr id="56" name="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82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6" o:spid="_x0000_s10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1.2999pt,0.1pt" to="450.45pt,0.1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3175</wp:posOffset>
                </wp:positionV>
                <wp:extent cx="0" cy="347345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473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7" o:spid="_x0000_s108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9499pt,0.25pt" to="-2.9499pt,27.6pt" o:allowincell="f" strokecolor="#9B8984" strokeweight="0.25pt"/>
            </w:pict>
          </mc:Fallback>
        </mc:AlternateConten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Оценка устойчивости финансового сектора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представленная в регулярном Обзоре финансовой стабильности Банка России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-397510</wp:posOffset>
                </wp:positionH>
                <wp:positionV relativeFrom="paragraph">
                  <wp:posOffset>140970</wp:posOffset>
                </wp:positionV>
                <wp:extent cx="6118225" cy="0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82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8" o:spid="_x0000_s108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1.2999pt,11.1pt" to="450.45pt,11.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126" w:space="500"/>
            <w:col w:w="9020"/>
          </w:cols>
          <w:pgMar w:left="1134" w:top="660" w:right="1126" w:bottom="1440" w:gutter="0" w:footer="0" w:header="0"/>
          <w:type w:val="continuous"/>
        </w:sectPr>
      </w:pPr>
    </w:p>
    <w:p>
      <w:pPr>
        <w:spacing w:after="0" w:line="120" w:lineRule="exact"/>
        <w:rPr>
          <w:sz w:val="20"/>
          <w:szCs w:val="20"/>
          <w:color w:val="auto"/>
        </w:rPr>
      </w:pPr>
    </w:p>
    <w:p>
      <w:pPr>
        <w:ind w:left="126" w:hanging="69"/>
        <w:spacing w:after="0"/>
        <w:tabs>
          <w:tab w:leader="none" w:pos="126" w:val="left"/>
        </w:tabs>
        <w:numPr>
          <w:ilvl w:val="1"/>
          <w:numId w:val="316"/>
        </w:numPr>
        <w:rPr>
          <w:rFonts w:ascii="Arial" w:cs="Arial" w:eastAsia="Arial" w:hAnsi="Arial"/>
          <w:sz w:val="14"/>
          <w:szCs w:val="14"/>
          <w:i w:val="1"/>
          <w:iCs w:val="1"/>
          <w:color w:val="auto"/>
        </w:rPr>
      </w:pP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>С учетом данных о ВВП за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II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квартал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2024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года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>.</w:t>
      </w:r>
    </w:p>
    <w:p>
      <w:pPr>
        <w:spacing w:after="0" w:line="7" w:lineRule="exact"/>
        <w:rPr>
          <w:rFonts w:ascii="Arial" w:cs="Arial" w:eastAsia="Arial" w:hAnsi="Arial"/>
          <w:sz w:val="14"/>
          <w:szCs w:val="14"/>
          <w:i w:val="1"/>
          <w:iCs w:val="1"/>
          <w:color w:val="auto"/>
        </w:rPr>
      </w:pPr>
    </w:p>
    <w:p>
      <w:pPr>
        <w:ind w:left="186" w:hanging="129"/>
        <w:spacing w:after="0"/>
        <w:tabs>
          <w:tab w:leader="none" w:pos="186" w:val="left"/>
        </w:tabs>
        <w:numPr>
          <w:ilvl w:val="1"/>
          <w:numId w:val="317"/>
        </w:numPr>
        <w:rPr>
          <w:rFonts w:ascii="Arial" w:cs="Arial" w:eastAsia="Arial" w:hAnsi="Arial"/>
          <w:sz w:val="14"/>
          <w:szCs w:val="14"/>
          <w:i w:val="1"/>
          <w:iCs w:val="1"/>
          <w:color w:val="auto"/>
        </w:rPr>
      </w:pP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>Опрос будет проводиться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1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раз в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3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года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>,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следующий замер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–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в мае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2027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года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>.</w:t>
      </w:r>
    </w:p>
    <w:p>
      <w:pPr>
        <w:spacing w:after="0" w:line="200" w:lineRule="exact"/>
        <w:rPr>
          <w:rFonts w:ascii="Arial" w:cs="Arial" w:eastAsia="Arial" w:hAnsi="Arial"/>
          <w:sz w:val="14"/>
          <w:szCs w:val="14"/>
          <w:i w:val="1"/>
          <w:iCs w:val="1"/>
          <w:color w:val="auto"/>
        </w:rPr>
      </w:pPr>
    </w:p>
    <w:p>
      <w:pPr>
        <w:spacing w:after="0" w:line="224" w:lineRule="exact"/>
        <w:rPr>
          <w:rFonts w:ascii="Arial" w:cs="Arial" w:eastAsia="Arial" w:hAnsi="Arial"/>
          <w:sz w:val="14"/>
          <w:szCs w:val="14"/>
          <w:i w:val="1"/>
          <w:iCs w:val="1"/>
          <w:color w:val="auto"/>
        </w:rPr>
      </w:pPr>
    </w:p>
    <w:p>
      <w:pPr>
        <w:ind w:left="6" w:right="80" w:hanging="6"/>
        <w:spacing w:after="0" w:line="293" w:lineRule="auto"/>
        <w:tabs>
          <w:tab w:leader="none" w:pos="210" w:val="left"/>
        </w:tabs>
        <w:numPr>
          <w:ilvl w:val="0"/>
          <w:numId w:val="3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учетом приоритетности задачи участия финансового рынка в финансировании трансформации российской экономики используется агрегированный индикатор отношения активов финансовых организаций к ВВП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индикатор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Подобные показатели часто применяются для отражения возможностей финансового рынка обслуживать потребности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свою очередь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зависят от масштабов его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глубины и охвата финансовыми услугами различных сфер экономической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важно учитывать активы как кредитных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НФО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принимая во внимание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для развития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удовлетворения жизненных потребностей граждан и бизнеса важен весь спектр основных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440" w:gutter="0" w:footer="0" w:header="0"/>
          <w:type w:val="continuous"/>
        </w:sectPr>
      </w:pPr>
    </w:p>
    <w:bookmarkStart w:id="81" w:name="page82"/>
    <w:bookmarkEnd w:id="8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42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78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428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428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892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93"/>
        </w:trPr>
        <w:tc>
          <w:tcPr>
            <w:tcW w:w="8920" w:type="dxa"/>
            <w:vAlign w:val="bottom"/>
            <w:tcBorders>
              <w:bottom w:val="single" w:sz="8" w:color="006391"/>
            </w:tcBorders>
            <w:gridSpan w:val="3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4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8"/>
        </w:trPr>
        <w:tc>
          <w:tcPr>
            <w:tcW w:w="892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>ВЗАИМОСВЯЗЬ ЦЕЛЕЙ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 xml:space="preserve"> (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>ПО ГОРИЗОНТАЛИ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>)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 xml:space="preserve"> И НАПРАВЛЕНИЙ РАЗВИТИЯ ФИНАНСОВОГО РЫНКА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 xml:space="preserve"> (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>ПО ВЕРТИКАЛИ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78"/>
              </w:rPr>
              <w:t>)</w:t>
            </w:r>
          </w:p>
        </w:tc>
        <w:tc>
          <w:tcPr>
            <w:tcW w:w="74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6"/>
              </w:rPr>
              <w:t>Табл</w:t>
            </w: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6"/>
              </w:rPr>
              <w:t>. 2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1529080</wp:posOffset>
                </wp:positionH>
                <wp:positionV relativeFrom="paragraph">
                  <wp:posOffset>118745</wp:posOffset>
                </wp:positionV>
                <wp:extent cx="0" cy="1240155"/>
                <wp:wrapNone/>
                <wp:docPr id="59" name="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40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9" o:spid="_x0000_s108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20.4pt,9.35pt" to="120.4pt,107pt" o:allowincell="f" strokecolor="#9B8984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3058160</wp:posOffset>
                </wp:positionH>
                <wp:positionV relativeFrom="paragraph">
                  <wp:posOffset>118745</wp:posOffset>
                </wp:positionV>
                <wp:extent cx="0" cy="1240155"/>
                <wp:wrapNone/>
                <wp:docPr id="60" name="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40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0" o:spid="_x0000_s10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40.8pt,9.35pt" to="240.8pt,107pt" o:allowincell="f" strokecolor="#9B8984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118745</wp:posOffset>
                </wp:positionV>
                <wp:extent cx="0" cy="1240155"/>
                <wp:wrapNone/>
                <wp:docPr id="61" name="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40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1" o:spid="_x0000_s108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61.2pt,9.35pt" to="361.2pt,107pt" o:allowincell="f" strokecolor="#9B8984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113665</wp:posOffset>
                </wp:positionV>
                <wp:extent cx="6116320" cy="0"/>
                <wp:wrapNone/>
                <wp:docPr id="62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2" o:spid="_x0000_s108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95pt" to="481.6pt,8.95pt" o:allowincell="f" strokecolor="#006391" strokeweight="0.7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131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jc w:val="center"/>
        <w:ind w:left="24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b w:val="1"/>
          <w:bCs w:val="1"/>
          <w:color w:val="auto"/>
        </w:rPr>
        <w:t>Цель</w:t>
      </w:r>
      <w:r>
        <w:rPr>
          <w:rFonts w:ascii="Arial" w:cs="Arial" w:eastAsia="Arial" w:hAnsi="Arial"/>
          <w:sz w:val="14"/>
          <w:szCs w:val="14"/>
          <w:b w:val="1"/>
          <w:bCs w:val="1"/>
          <w:color w:val="auto"/>
        </w:rPr>
        <w:t xml:space="preserve"> 1.</w:t>
      </w:r>
      <w:r>
        <w:rPr>
          <w:rFonts w:ascii="Arial" w:cs="Arial" w:eastAsia="Arial" w:hAnsi="Arial"/>
          <w:sz w:val="14"/>
          <w:szCs w:val="14"/>
          <w:b w:val="1"/>
          <w:bCs w:val="1"/>
          <w:color w:val="auto"/>
        </w:rPr>
        <w:t xml:space="preserve"> Развитие современного</w:t>
      </w:r>
    </w:p>
    <w:p>
      <w:pPr>
        <w:spacing w:after="0" w:line="31" w:lineRule="exact"/>
        <w:rPr>
          <w:sz w:val="20"/>
          <w:szCs w:val="20"/>
          <w:color w:val="auto"/>
        </w:rPr>
      </w:pPr>
    </w:p>
    <w:p>
      <w:pPr>
        <w:jc w:val="center"/>
        <w:ind w:left="24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b w:val="1"/>
          <w:bCs w:val="1"/>
          <w:color w:val="auto"/>
        </w:rPr>
        <w:t>финансового рынка</w:t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jc w:val="center"/>
        <w:ind w:left="24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b w:val="1"/>
          <w:bCs w:val="1"/>
          <w:color w:val="auto"/>
        </w:rPr>
        <w:t>для удовлетворения потребностей</w: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jc w:val="center"/>
        <w:ind w:left="24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b w:val="1"/>
          <w:bCs w:val="1"/>
          <w:color w:val="auto"/>
        </w:rPr>
        <w:t>российской экономики</w:t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ind w:left="2566" w:right="80" w:firstLine="20"/>
        <w:spacing w:after="0" w:line="411" w:lineRule="auto"/>
        <w:tabs>
          <w:tab w:leader="none" w:pos="2698" w:val="left"/>
        </w:tabs>
        <w:numPr>
          <w:ilvl w:val="0"/>
          <w:numId w:val="318"/>
        </w:numPr>
        <w:rPr>
          <w:rFonts w:ascii="Arial" w:cs="Arial" w:eastAsia="Arial" w:hAnsi="Arial"/>
          <w:sz w:val="12"/>
          <w:szCs w:val="12"/>
          <w:b w:val="1"/>
          <w:bCs w:val="1"/>
          <w:color w:val="auto"/>
        </w:rPr>
      </w:pPr>
      <w:r>
        <w:rPr>
          <w:rFonts w:ascii="Arial" w:cs="Arial" w:eastAsia="Arial" w:hAnsi="Arial"/>
          <w:sz w:val="12"/>
          <w:szCs w:val="12"/>
          <w:b w:val="1"/>
          <w:bCs w:val="1"/>
          <w:color w:val="auto"/>
        </w:rPr>
        <w:t>инвестициях для структурной трансформации и эффективных платежных механизмах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116205</wp:posOffset>
            </wp:positionV>
            <wp:extent cx="6116955" cy="3088005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08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72" w:lineRule="exact"/>
        <w:rPr>
          <w:sz w:val="20"/>
          <w:szCs w:val="20"/>
          <w:color w:val="auto"/>
        </w:rPr>
      </w:pPr>
    </w:p>
    <w:p>
      <w:pPr>
        <w:jc w:val="center"/>
        <w:ind w:right="120"/>
        <w:spacing w:after="0" w:line="30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Цель</w:t>
      </w: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 xml:space="preserve"> 2.</w:t>
      </w: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 xml:space="preserve"> Укрепление доверия розничного потребителя и розничного инвестора к финансовому рынку через усиление его защищенности</w:t>
      </w: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,</w:t>
      </w: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 xml:space="preserve"> повышение финансовой грамотности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-120" w:firstLine="150"/>
        <w:spacing w:after="0" w:line="308" w:lineRule="auto"/>
        <w:tabs>
          <w:tab w:leader="none" w:pos="152" w:val="left"/>
        </w:tabs>
        <w:numPr>
          <w:ilvl w:val="0"/>
          <w:numId w:val="319"/>
        </w:numPr>
        <w:rPr>
          <w:rFonts w:ascii="Arial" w:cs="Arial" w:eastAsia="Arial" w:hAnsi="Arial"/>
          <w:sz w:val="13"/>
          <w:szCs w:val="13"/>
          <w:b w:val="1"/>
          <w:bCs w:val="1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расширение доступности финансовых услуг для граждан</w:t>
      </w:r>
    </w:p>
    <w:p>
      <w:pPr>
        <w:ind w:left="700" w:hanging="108"/>
        <w:spacing w:after="0"/>
        <w:tabs>
          <w:tab w:leader="none" w:pos="700" w:val="left"/>
        </w:tabs>
        <w:numPr>
          <w:ilvl w:val="1"/>
          <w:numId w:val="319"/>
        </w:numPr>
        <w:rPr>
          <w:rFonts w:ascii="Arial" w:cs="Arial" w:eastAsia="Arial" w:hAnsi="Arial"/>
          <w:sz w:val="16"/>
          <w:szCs w:val="16"/>
          <w:b w:val="1"/>
          <w:bCs w:val="1"/>
          <w:color w:val="auto"/>
        </w:rPr>
      </w:pPr>
      <w:r>
        <w:rPr>
          <w:rFonts w:ascii="Arial" w:cs="Arial" w:eastAsia="Arial" w:hAnsi="Arial"/>
          <w:sz w:val="16"/>
          <w:szCs w:val="16"/>
          <w:b w:val="1"/>
          <w:bCs w:val="1"/>
          <w:color w:val="auto"/>
        </w:rPr>
        <w:t>бизнеса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jc w:val="center"/>
        <w:ind w:right="100"/>
        <w:spacing w:after="0" w:line="33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Цель</w:t>
      </w: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 xml:space="preserve"> 3.</w:t>
      </w: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 xml:space="preserve"> Обеспечение финансовой стабильности</w:t>
      </w: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 xml:space="preserve"> –</w:t>
      </w: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 xml:space="preserve"> бесперебойного функционирования финансового рынка</w:t>
      </w: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>,</w:t>
      </w:r>
      <w:r>
        <w:rPr>
          <w:rFonts w:ascii="Arial" w:cs="Arial" w:eastAsia="Arial" w:hAnsi="Arial"/>
          <w:sz w:val="13"/>
          <w:szCs w:val="13"/>
          <w:b w:val="1"/>
          <w:bCs w:val="1"/>
          <w:color w:val="auto"/>
        </w:rPr>
        <w:t xml:space="preserve"> в том числе в условиях стресса</w:t>
      </w:r>
    </w:p>
    <w:p>
      <w:pPr>
        <w:spacing w:after="0" w:line="488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3">
            <w:col w:w="4746" w:space="360"/>
            <w:col w:w="1960" w:space="240"/>
            <w:col w:w="2340"/>
          </w:cols>
          <w:pgMar w:left="1134" w:top="660" w:right="1126" w:bottom="1131" w:gutter="0" w:footer="0" w:header="0"/>
          <w:type w:val="continuous"/>
        </w:sectPr>
      </w:pPr>
    </w:p>
    <w:p>
      <w:pPr>
        <w:ind w:left="66" w:right="7400" w:hanging="9"/>
        <w:spacing w:after="0" w:line="336" w:lineRule="auto"/>
        <w:tabs>
          <w:tab w:leader="none" w:pos="187" w:val="left"/>
        </w:tabs>
        <w:numPr>
          <w:ilvl w:val="0"/>
          <w:numId w:val="320"/>
        </w:numPr>
        <w:rPr>
          <w:rFonts w:ascii="Arial" w:cs="Arial" w:eastAsia="Arial" w:hAnsi="Arial"/>
          <w:sz w:val="13"/>
          <w:szCs w:val="13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Создание условий для усиления роли финансового рынка в финансировании трансформации экономики при сохранении устойчивости финансового сектора</w:t>
      </w:r>
    </w:p>
    <w:p>
      <w:pPr>
        <w:spacing w:after="0" w:line="74" w:lineRule="exact"/>
        <w:rPr>
          <w:rFonts w:ascii="Arial" w:cs="Arial" w:eastAsia="Arial" w:hAnsi="Arial"/>
          <w:sz w:val="13"/>
          <w:szCs w:val="13"/>
          <w:color w:val="auto"/>
        </w:rPr>
      </w:pPr>
    </w:p>
    <w:p>
      <w:pPr>
        <w:ind w:left="66" w:right="7360" w:hanging="9"/>
        <w:spacing w:after="0" w:line="346" w:lineRule="auto"/>
        <w:tabs>
          <w:tab w:leader="none" w:pos="215" w:val="left"/>
        </w:tabs>
        <w:numPr>
          <w:ilvl w:val="0"/>
          <w:numId w:val="320"/>
        </w:numPr>
        <w:rPr>
          <w:rFonts w:ascii="Arial" w:cs="Arial" w:eastAsia="Arial" w:hAnsi="Arial"/>
          <w:sz w:val="13"/>
          <w:szCs w:val="13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Защита прав потребителей финансовых услуг и инвесторов</w:t>
      </w:r>
      <w:r>
        <w:rPr>
          <w:rFonts w:ascii="Arial" w:cs="Arial" w:eastAsia="Arial" w:hAnsi="Arial"/>
          <w:sz w:val="13"/>
          <w:szCs w:val="13"/>
          <w:color w:val="auto"/>
        </w:rPr>
        <w:t>,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повышение финансовой доступности для граждан и бизнеса</w:t>
      </w:r>
    </w:p>
    <w:p>
      <w:pPr>
        <w:spacing w:after="0" w:line="67" w:lineRule="exact"/>
        <w:rPr>
          <w:rFonts w:ascii="Arial" w:cs="Arial" w:eastAsia="Arial" w:hAnsi="Arial"/>
          <w:sz w:val="13"/>
          <w:szCs w:val="13"/>
          <w:color w:val="auto"/>
        </w:rPr>
      </w:pPr>
    </w:p>
    <w:p>
      <w:pPr>
        <w:ind w:left="66" w:right="7660" w:hanging="9"/>
        <w:spacing w:after="0" w:line="365" w:lineRule="auto"/>
        <w:tabs>
          <w:tab w:leader="none" w:pos="213" w:val="left"/>
        </w:tabs>
        <w:numPr>
          <w:ilvl w:val="0"/>
          <w:numId w:val="320"/>
        </w:numPr>
        <w:rPr>
          <w:rFonts w:ascii="Arial" w:cs="Arial" w:eastAsia="Arial" w:hAnsi="Arial"/>
          <w:sz w:val="13"/>
          <w:szCs w:val="13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Цифровизация финансового рынка и развитие платежной инфраструктуры</w:t>
      </w:r>
    </w:p>
    <w:p>
      <w:pPr>
        <w:spacing w:after="0" w:line="55" w:lineRule="exact"/>
        <w:rPr>
          <w:rFonts w:ascii="Arial" w:cs="Arial" w:eastAsia="Arial" w:hAnsi="Arial"/>
          <w:sz w:val="13"/>
          <w:szCs w:val="13"/>
          <w:color w:val="auto"/>
        </w:rPr>
      </w:pPr>
    </w:p>
    <w:p>
      <w:pPr>
        <w:ind w:left="66" w:right="7920" w:hanging="9"/>
        <w:spacing w:after="0" w:line="274" w:lineRule="auto"/>
        <w:tabs>
          <w:tab w:leader="none" w:pos="211" w:val="left"/>
        </w:tabs>
        <w:numPr>
          <w:ilvl w:val="0"/>
          <w:numId w:val="320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Развитие системы внешнеторговых платежей и расчетов</w:t>
      </w:r>
    </w:p>
    <w:p>
      <w:pPr>
        <w:spacing w:after="0" w:line="110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66" w:right="7820" w:hanging="9"/>
        <w:spacing w:after="0" w:line="375" w:lineRule="auto"/>
        <w:tabs>
          <w:tab w:leader="none" w:pos="216" w:val="left"/>
        </w:tabs>
        <w:numPr>
          <w:ilvl w:val="0"/>
          <w:numId w:val="320"/>
        </w:numPr>
        <w:rPr>
          <w:rFonts w:ascii="Arial" w:cs="Arial" w:eastAsia="Arial" w:hAnsi="Arial"/>
          <w:sz w:val="14"/>
          <w:szCs w:val="14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Обеспечение финансовой стабильности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131" w:gutter="0" w:footer="0" w:header="0"/>
          <w:type w:val="continuous"/>
        </w:sectPr>
      </w:pP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ind w:left="12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Направление способствует</w:t>
      </w:r>
    </w:p>
    <w:p>
      <w:pPr>
        <w:spacing w:after="0" w:line="43" w:lineRule="exact"/>
        <w:rPr>
          <w:sz w:val="20"/>
          <w:szCs w:val="20"/>
          <w:color w:val="auto"/>
        </w:rPr>
      </w:pPr>
    </w:p>
    <w:p>
      <w:pPr>
        <w:ind w:left="12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достижению цели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5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Направление в значимой мере</w:t>
      </w:r>
    </w:p>
    <w:p>
      <w:pPr>
        <w:spacing w:after="0" w:line="4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способствует достижению цели</w:t>
      </w:r>
    </w:p>
    <w:p>
      <w:pPr>
        <w:spacing w:after="0" w:line="234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5366" w:space="720"/>
            <w:col w:w="3560"/>
          </w:cols>
          <w:pgMar w:left="1134" w:top="660" w:right="1126" w:bottom="1131" w:gutter="0" w:footer="0" w:header="0"/>
          <w:type w:val="continuous"/>
        </w:sect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обеспечения трансформации российской экономики необходимы в первую очередь долгосрочные ресурсы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формируются преимущественно на рынке капитала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наиболее долгосрочный характер носит именно долевое финансирование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расширением круга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привлекательных для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более активным использованием предприятиями выпуска акций в свободное обращение как инструмента финансирования бизнеса будет увеличиваться капитализации фондового рынка к ВВП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индикатор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важным условием роста долевого финансирования является увеличение числа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имеющих долгосрочную устойчивую стратегию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качественное корпоративное управление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обеспечивающих прозрачность своей деятельности для инвесторов и рассматривающих их как равноправных партнеров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jc w:val="both"/>
        <w:ind w:left="6" w:right="6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формирования долгосрочных ресурсов в экономике необходимо удлинение горизонта вложений граждан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индикатор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этой целью в различных сегментах финансового рынка формируется линейка инструментов для долгосрочных сбережений и инвестиций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вводятся механизмы гарантирования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проводится работа по повышению финансовой грамотности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94" w:lineRule="auto"/>
        <w:tabs>
          <w:tab w:leader="none" w:pos="201" w:val="left"/>
        </w:tabs>
        <w:numPr>
          <w:ilvl w:val="0"/>
          <w:numId w:val="32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условиях цифровой трансформации экономики и всех сфер жизни общества важным аспектом развития современного финансового рынка является цифровизация финансовых и платежных продуктов и услуг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индикаторы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соответственно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Цифровизация финансового рынка также имеет большое значение для внедрения инноваций в реальный сектор экономики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использования в деловом обороте новых цифровых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1131" w:gutter="0" w:footer="0" w:header="0"/>
          <w:type w:val="continuous"/>
        </w:sectPr>
      </w:pPr>
    </w:p>
    <w:bookmarkStart w:id="82" w:name="page83"/>
    <w:bookmarkEnd w:id="8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ind w:left="3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Удовлетворенность населения работой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финансовыми продуктами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услугами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каналами предоставления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оценивается по данным опроса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индикатор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отражает восприятие гражданами работы финансового рынка и его институтов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, </w:t>
      </w:r>
      <w:r>
        <w:rPr>
          <w:rFonts w:ascii="Arial" w:cs="Arial" w:eastAsia="Arial" w:hAnsi="Arial"/>
          <w:sz w:val="20"/>
          <w:szCs w:val="20"/>
          <w:color w:val="auto"/>
        </w:rPr>
        <w:t>уровень доверия к ним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это в комплексе влияют защищенность прав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уровень финансовой грамотности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доступность финансовых продуктов и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через дистанционные каналы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системной финансовой стабильности крайне важны устойчивость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финансового рынка в 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способность бесперебойно выполнять свои функции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условиях стресса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регулярно проводит оценку устойчивости финансового сектора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банковского сектора и сектора НФО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раза в год публикует результаты в Обзоре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индикатор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7).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Таким образом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использует агрегированные показатели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1 – 6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мониторинга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изменений на финансовом рынке с точки зрения их восприятия потребителем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развития цифровых продуктов и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глубины финансового рынка относительно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масштабов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Увеличение индикаторов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1 – 6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будет отражать позитивные изменения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Мониторинг устойчивости финансового сектора Банк России осуществляет регулярно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индикатор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анализирует факторы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влияющие на динамику индикаторов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разъясняя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причины происходящих изменений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 России не устанавливает количественных ориентиров по индикаторам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рассматривая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их как индикативные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Финансовый рынок является сложной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многогранной системой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динамично меняющейся под влиянием как действий самих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широкого круга экономических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технологических и иных факторов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зависящих напрямую от Банка России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420" w:hanging="6"/>
        <w:spacing w:after="0" w:line="292" w:lineRule="auto"/>
        <w:tabs>
          <w:tab w:leader="none" w:pos="186" w:val="left"/>
        </w:tabs>
        <w:numPr>
          <w:ilvl w:val="0"/>
          <w:numId w:val="32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Правительства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постоянно возрастающей скорости изменений установление точных количественных значений по любым индикаторам может затруднить действие рыночных механизмов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снижая степень гибкости и адаптивности политики регулятора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быстроты реакции на возникающие новые вызовы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привести к перегреву</w:t>
      </w:r>
    </w:p>
    <w:p>
      <w:pPr>
        <w:ind w:left="6" w:right="320" w:hanging="6"/>
        <w:spacing w:after="0" w:line="295" w:lineRule="auto"/>
        <w:tabs>
          <w:tab w:leader="none" w:pos="186" w:val="left"/>
        </w:tabs>
        <w:numPr>
          <w:ilvl w:val="0"/>
          <w:numId w:val="32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образованию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пузырей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рынке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связи с этим достижение конкретных целевых значений индикаторов без учета широкого круга динамично меняющихся факторов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значимо влияют на тенденции развития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может быть критерием эффективности политики по развитию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Важно отметить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наряду с индикаторами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1 – 7,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целях мониторинга развития финансового рынка Банк России на постоянной основе анализирует широкий круг количественных</w:t>
      </w:r>
    </w:p>
    <w:p>
      <w:pPr>
        <w:ind w:left="6" w:right="40" w:hanging="6"/>
        <w:spacing w:after="0" w:line="295" w:lineRule="auto"/>
        <w:tabs>
          <w:tab w:leader="none" w:pos="186" w:val="left"/>
        </w:tabs>
        <w:numPr>
          <w:ilvl w:val="0"/>
          <w:numId w:val="3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качественных показателей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ОНРФР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25 – 27,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содержащем описание текущего состояния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упомянута лишь часть из них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 России регулярно публикует материалы</w:t>
      </w:r>
      <w:r>
        <w:rPr>
          <w:rFonts w:ascii="Arial" w:cs="Arial" w:eastAsia="Arial" w:hAnsi="Arial"/>
          <w:sz w:val="11"/>
          <w:szCs w:val="11"/>
          <w:color w:val="auto"/>
        </w:rPr>
        <w:t>1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которых детально освещаются тенденции развития как финансового рынка в целом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его отдельных сегментов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1235710</wp:posOffset>
                </wp:positionV>
                <wp:extent cx="1259840" cy="0"/>
                <wp:wrapNone/>
                <wp:docPr id="64" name="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4" o:spid="_x0000_s10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97.3pt" to="99.2pt,97.3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3" w:lineRule="exact"/>
        <w:rPr>
          <w:sz w:val="20"/>
          <w:szCs w:val="20"/>
          <w:color w:val="auto"/>
        </w:rPr>
      </w:pPr>
    </w:p>
    <w:p>
      <w:pPr>
        <w:ind w:left="86" w:right="80" w:hanging="86"/>
        <w:spacing w:after="0" w:line="251" w:lineRule="auto"/>
        <w:tabs>
          <w:tab w:leader="none" w:pos="86" w:val="left"/>
        </w:tabs>
        <w:numPr>
          <w:ilvl w:val="0"/>
          <w:numId w:val="324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hyperlink r:id="rId41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Обзор российского финансового сектора и финансовых инструментов</w:t>
        </w:r>
        <w:r>
          <w:rPr>
            <w:rFonts w:ascii="Arial" w:cs="Arial" w:eastAsia="Arial" w:hAnsi="Arial"/>
            <w:sz w:val="16"/>
            <w:szCs w:val="16"/>
            <w:color w:val="000000"/>
          </w:rPr>
          <w:t>,</w:t>
        </w:r>
        <w:r>
          <w:rPr>
            <w:rFonts w:ascii="Arial" w:cs="Arial" w:eastAsia="Arial" w:hAnsi="Arial"/>
            <w:sz w:val="16"/>
            <w:szCs w:val="16"/>
            <w:color w:val="006391"/>
          </w:rPr>
          <w:t xml:space="preserve"> </w:t>
        </w:r>
      </w:hyperlink>
      <w:hyperlink r:id="rId42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 развитии банковского сектора Российской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42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Федерации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,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43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Обзор ключевых показателей управляющих компаний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,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44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Обзор ключевых показателей негосударственных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44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пенсионных фондов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,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45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Обзор ключевых показателей деятельности страховщиков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,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46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Обзор ключевых показателей брокеров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,</w:t>
      </w:r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47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Обзор ключевых показателей микрофинансовых институтов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,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48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Обзор рисков финансовых рынков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,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49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Мониторинг отраслевых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49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финансовых потоков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,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50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Индикаторы финансовой доступности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,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51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Противодействие недобросовестным практикам участников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51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рынка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2" w:gutter="0" w:footer="0" w:header="0"/>
        </w:sectPr>
      </w:pPr>
    </w:p>
    <w:bookmarkStart w:id="83" w:name="page84"/>
    <w:bookmarkEnd w:id="83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4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80</w:t>
            </w: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50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502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464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93"/>
        </w:trPr>
        <w:tc>
          <w:tcPr>
            <w:tcW w:w="4640" w:type="dxa"/>
            <w:vAlign w:val="bottom"/>
            <w:tcBorders>
              <w:bottom w:val="single" w:sz="8" w:color="006391"/>
            </w:tcBorders>
            <w:gridSpan w:val="2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02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8"/>
        </w:trPr>
        <w:tc>
          <w:tcPr>
            <w:tcW w:w="46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МЕТОДИКА РАСЧЕТА ИНДИКАТОРОВ</w:t>
            </w:r>
          </w:p>
        </w:tc>
        <w:tc>
          <w:tcPr>
            <w:tcW w:w="5020" w:type="dxa"/>
            <w:vAlign w:val="bottom"/>
          </w:tcPr>
          <w:p>
            <w:pPr>
              <w:ind w:left="4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6"/>
              </w:rPr>
              <w:t>Табл</w:t>
            </w: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6"/>
              </w:rPr>
              <w:t>. 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281940</wp:posOffset>
                </wp:positionH>
                <wp:positionV relativeFrom="paragraph">
                  <wp:posOffset>118745</wp:posOffset>
                </wp:positionV>
                <wp:extent cx="0" cy="551815"/>
                <wp:wrapNone/>
                <wp:docPr id="65" name="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518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5" o:spid="_x0000_s109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.2pt,9.35pt" to="22.2pt,52.8pt" o:allowincell="f" strokecolor="#9B8984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113665</wp:posOffset>
                </wp:positionV>
                <wp:extent cx="6116320" cy="0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6" o:spid="_x0000_s10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95pt" to="481.3pt,8.95pt" o:allowincell="f" strokecolor="#006391" strokeweight="0.7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0"/>
          </w:cols>
          <w:pgMar w:left="1140" w:top="660" w:right="1126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"/>
          <w:szCs w:val="7"/>
          <w:color w:val="auto"/>
        </w:rPr>
        <w:t>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67" w:lineRule="exact"/>
        <w:rPr>
          <w:sz w:val="20"/>
          <w:szCs w:val="20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3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23"/>
        </w:trPr>
        <w:tc>
          <w:tcPr>
            <w:tcW w:w="2260" w:type="dxa"/>
            <w:vAlign w:val="bottom"/>
            <w:tcBorders>
              <w:right w:val="single" w:sz="8" w:color="9B8984"/>
            </w:tcBorders>
          </w:tcPr>
          <w:p>
            <w:pPr>
              <w:jc w:val="center"/>
              <w:ind w:righ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  <w:w w:val="83"/>
              </w:rPr>
              <w:t>Наименование индикатора</w:t>
            </w: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  <w:w w:val="83"/>
              </w:rPr>
              <w:t>,</w:t>
            </w:r>
          </w:p>
        </w:tc>
        <w:tc>
          <w:tcPr>
            <w:tcW w:w="4160" w:type="dxa"/>
            <w:vAlign w:val="bottom"/>
            <w:vMerge w:val="restart"/>
          </w:tcPr>
          <w:p>
            <w:pPr>
              <w:ind w:left="2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  <w:w w:val="83"/>
              </w:rPr>
              <w:t>Краткая методика расчета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31"/>
        </w:trPr>
        <w:tc>
          <w:tcPr>
            <w:tcW w:w="226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jc w:val="center"/>
              <w:ind w:righ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b w:val="1"/>
                <w:bCs w:val="1"/>
                <w:color w:val="auto"/>
                <w:w w:val="82"/>
              </w:rPr>
              <w:t>единицы измерения</w:t>
            </w:r>
          </w:p>
        </w:tc>
        <w:tc>
          <w:tcPr>
            <w:tcW w:w="4160" w:type="dxa"/>
            <w:vAlign w:val="bottom"/>
            <w:vMerge w:val="continue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226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41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0"/>
        </w:trPr>
        <w:tc>
          <w:tcPr>
            <w:tcW w:w="226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1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9525</wp:posOffset>
                </wp:positionV>
                <wp:extent cx="0" cy="856615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566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7" o:spid="_x0000_s109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7499pt,0.75pt" to="-2.7499pt,68.2pt" o:allowincell="f" strokecolor="#9B8984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-321310</wp:posOffset>
                </wp:positionH>
                <wp:positionV relativeFrom="paragraph">
                  <wp:posOffset>4445</wp:posOffset>
                </wp:positionV>
                <wp:extent cx="6116320" cy="0"/>
                <wp:wrapNone/>
                <wp:docPr id="68" name="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8" o:spid="_x0000_s109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5.2999pt,0.35pt" to="456.3pt,0.35pt" o:allowincell="f" strokecolor="#006391" strokeweight="0.75pt"/>
            </w:pict>
          </mc:Fallback>
        </mc:AlternateContent>
      </w: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7"/>
        </w:trPr>
        <w:tc>
          <w:tcPr>
            <w:tcW w:w="258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50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>Показатель рассчитывается как отношение суммы активов банковского сектора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96"/>
              </w:rPr>
              <w:t xml:space="preserve"> активов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258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Отношение активов финансовых</w:t>
            </w:r>
          </w:p>
        </w:tc>
        <w:tc>
          <w:tcPr>
            <w:tcW w:w="650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страховщиков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 xml:space="preserve"> инвестиционных портфелей НПФ и СФР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 xml:space="preserve"> стоимости чистых активов ПИФ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3"/>
              </w:rPr>
              <w:t xml:space="preserve"> собственных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258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500" w:type="dxa"/>
            <w:vAlign w:val="bottom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>активов профучастников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 xml:space="preserve"> –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 xml:space="preserve"> НФО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 xml:space="preserve"> активов на брокерском обслуживании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8"/>
              </w:rPr>
              <w:t xml:space="preserve"> активов в доверительном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2580" w:type="dxa"/>
            <w:vAlign w:val="bottom"/>
            <w:tcBorders>
              <w:right w:val="single" w:sz="8" w:color="9B8984"/>
            </w:tcBorders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организаций к ВВП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, %</w:t>
            </w:r>
          </w:p>
        </w:tc>
        <w:tc>
          <w:tcPr>
            <w:tcW w:w="650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5"/>
        </w:trPr>
        <w:tc>
          <w:tcPr>
            <w:tcW w:w="2580" w:type="dxa"/>
            <w:vAlign w:val="bottom"/>
            <w:tcBorders>
              <w:right w:val="single" w:sz="8" w:color="9B8984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500" w:type="dxa"/>
            <w:vAlign w:val="bottom"/>
            <w:vMerge w:val="restart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управлении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 xml:space="preserve"> профильных активов МФО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 xml:space="preserve"> портфелей займов ломбардов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>,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  <w:w w:val="82"/>
              </w:rPr>
              <w:t xml:space="preserve"> КПК и СКПК к годовому объему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7"/>
        </w:trPr>
        <w:tc>
          <w:tcPr>
            <w:tcW w:w="258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6500" w:type="dxa"/>
            <w:vAlign w:val="bottom"/>
            <w:vMerge w:val="continue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258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50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ВВП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80"/>
        </w:trPr>
        <w:tc>
          <w:tcPr>
            <w:tcW w:w="2580" w:type="dxa"/>
            <w:vAlign w:val="bottom"/>
            <w:tcBorders>
              <w:right w:val="single" w:sz="8" w:color="9B8984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650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2540</wp:posOffset>
                </wp:positionV>
                <wp:extent cx="0" cy="502285"/>
                <wp:wrapNone/>
                <wp:docPr id="69" name="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022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9" o:spid="_x0000_s109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7499pt,0.2pt" to="-2.7499pt,39.75pt" o:allowincell="f" strokecolor="#9B8984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1620520</wp:posOffset>
                </wp:positionH>
                <wp:positionV relativeFrom="paragraph">
                  <wp:posOffset>2540</wp:posOffset>
                </wp:positionV>
                <wp:extent cx="0" cy="502285"/>
                <wp:wrapNone/>
                <wp:docPr id="70" name="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022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0" o:spid="_x0000_s109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27.6pt,0.2pt" to="127.6pt,39.75pt" o:allowincell="f" strokecolor="#9B8984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-321310</wp:posOffset>
                </wp:positionH>
                <wp:positionV relativeFrom="paragraph">
                  <wp:posOffset>1270</wp:posOffset>
                </wp:positionV>
                <wp:extent cx="6116320" cy="0"/>
                <wp:wrapNone/>
                <wp:docPr id="71" name="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1" o:spid="_x0000_s109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5.2999pt,0.1pt" to="456.3pt,0.1pt" o:allowincell="f" strokecolor="#000000" strokeweight="0.25pt"/>
            </w:pict>
          </mc:Fallback>
        </mc:AlternateContent>
      </w:r>
    </w:p>
    <w:p>
      <w:pPr>
        <w:spacing w:after="0" w:line="196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100" w:space="400"/>
            <w:col w:w="9140"/>
          </w:cols>
          <w:pgMar w:left="1140" w:top="660" w:right="1126" w:bottom="1440" w:gutter="0" w:footer="0" w:header="0"/>
          <w:type w:val="continuous"/>
        </w:sectPr>
      </w:pPr>
    </w:p>
    <w:p>
      <w:pPr>
        <w:spacing w:after="0" w:line="96" w:lineRule="exact"/>
        <w:rPr>
          <w:sz w:val="20"/>
          <w:szCs w:val="20"/>
          <w:color w:val="auto"/>
        </w:rPr>
      </w:pP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2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9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Отношение капитализации фондового рынка к ВВП</w:t>
      </w:r>
      <w:r>
        <w:rPr>
          <w:rFonts w:ascii="Arial" w:cs="Arial" w:eastAsia="Arial" w:hAnsi="Arial"/>
          <w:sz w:val="16"/>
          <w:szCs w:val="16"/>
          <w:color w:val="auto"/>
        </w:rPr>
        <w:t>, %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93345</wp:posOffset>
                </wp:positionV>
                <wp:extent cx="0" cy="615950"/>
                <wp:wrapNone/>
                <wp:docPr id="72" name="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159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2" o:spid="_x0000_s109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7499pt,7.35pt" to="-2.7499pt,55.85pt" o:allowincell="f" strokecolor="#9B8984" strokeweight="0.25pt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ind w:right="200"/>
        <w:spacing w:after="0" w:line="33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5"/>
          <w:szCs w:val="15"/>
          <w:color w:val="auto"/>
        </w:rPr>
        <w:t>Показатель рассчитывается как отношение рыночной капитализации ценных бумаг по итогам торгов на фондовом рынке ПАО Московская Биржа к годовому объему ВВП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78105</wp:posOffset>
                </wp:positionV>
                <wp:extent cx="0" cy="616585"/>
                <wp:wrapNone/>
                <wp:docPr id="73" name="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165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3" o:spid="_x0000_s109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499pt,6.15pt" to="-2.3499pt,54.7pt" o:allowincell="f" strokecolor="#9B8984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-1972310</wp:posOffset>
                </wp:positionH>
                <wp:positionV relativeFrom="paragraph">
                  <wp:posOffset>76835</wp:posOffset>
                </wp:positionV>
                <wp:extent cx="6116320" cy="0"/>
                <wp:wrapNone/>
                <wp:docPr id="74" name="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4" o:spid="_x0000_s109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55.2999pt,6.05pt" to="326.3pt,6.0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3">
            <w:col w:w="120" w:space="380"/>
            <w:col w:w="2380" w:space="220"/>
            <w:col w:w="6540"/>
          </w:cols>
          <w:pgMar w:left="1140" w:top="660" w:right="1126" w:bottom="1440" w:gutter="0" w:footer="0" w:header="0"/>
          <w:type w:val="continuous"/>
        </w:sectPr>
      </w:pPr>
    </w:p>
    <w:p>
      <w:pPr>
        <w:spacing w:after="0" w:line="301" w:lineRule="exact"/>
        <w:rPr>
          <w:sz w:val="20"/>
          <w:szCs w:val="20"/>
          <w:color w:val="auto"/>
        </w:rPr>
      </w:pP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3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89" w:lineRule="exact"/>
        <w:rPr>
          <w:sz w:val="20"/>
          <w:szCs w:val="20"/>
          <w:color w:val="auto"/>
        </w:rPr>
      </w:pPr>
    </w:p>
    <w:p>
      <w:pPr>
        <w:spacing w:after="0" w:line="33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Доля долгосрочных сбережений граждан в общем объеме их сбережений</w:t>
      </w:r>
      <w:r>
        <w:rPr>
          <w:rFonts w:ascii="Arial" w:cs="Arial" w:eastAsia="Arial" w:hAnsi="Arial"/>
          <w:sz w:val="14"/>
          <w:szCs w:val="14"/>
          <w:color w:val="auto"/>
        </w:rPr>
        <w:t>, %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80010</wp:posOffset>
                </wp:positionV>
                <wp:extent cx="0" cy="737870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378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5" o:spid="_x0000_s110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7499pt,6.3pt" to="-2.7499pt,64.4pt" o:allowincell="f" strokecolor="#9B8984" strokeweight="0.25pt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89" w:lineRule="exact"/>
        <w:rPr>
          <w:sz w:val="20"/>
          <w:szCs w:val="20"/>
          <w:color w:val="auto"/>
        </w:rPr>
      </w:pPr>
    </w:p>
    <w:p>
      <w:pPr>
        <w:ind w:right="300"/>
        <w:spacing w:after="0" w:line="27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Показатель рассчитывается как отношение суммы инвестиционных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страховых и пенсионных услуг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предоставленных физическим лицам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к общему объему сбережений граждан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(</w:t>
      </w:r>
      <w:r>
        <w:rPr>
          <w:rFonts w:ascii="Arial" w:cs="Arial" w:eastAsia="Arial" w:hAnsi="Arial"/>
          <w:sz w:val="16"/>
          <w:szCs w:val="16"/>
          <w:color w:val="auto"/>
        </w:rPr>
        <w:t>включая вклады и текущие счета</w:t>
      </w:r>
      <w:r>
        <w:rPr>
          <w:rFonts w:ascii="Arial" w:cs="Arial" w:eastAsia="Arial" w:hAnsi="Arial"/>
          <w:sz w:val="16"/>
          <w:szCs w:val="16"/>
          <w:color w:val="auto"/>
        </w:rPr>
        <w:t>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101600</wp:posOffset>
                </wp:positionV>
                <wp:extent cx="0" cy="737870"/>
                <wp:wrapNone/>
                <wp:docPr id="76" name="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378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6" o:spid="_x0000_s110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499pt,8pt" to="-2.3499pt,66.1pt" o:allowincell="f" strokecolor="#9B8984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-1972310</wp:posOffset>
                </wp:positionH>
                <wp:positionV relativeFrom="paragraph">
                  <wp:posOffset>99695</wp:posOffset>
                </wp:positionV>
                <wp:extent cx="6116320" cy="0"/>
                <wp:wrapNone/>
                <wp:docPr id="77" name="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7" o:spid="_x0000_s110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55.2999pt,7.85pt" to="326.3pt,7.85pt" o:allowincell="f" strokecolor="#000000" strokeweight="0.25pt"/>
            </w:pict>
          </mc:Fallback>
        </mc:AlternateContent>
      </w: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3">
            <w:col w:w="120" w:space="380"/>
            <w:col w:w="2020" w:space="580"/>
            <w:col w:w="6540"/>
          </w:cols>
          <w:pgMar w:left="1140" w:top="660" w:right="1126" w:bottom="1440" w:gutter="0" w:footer="0" w:header="0"/>
          <w:type w:val="continuous"/>
        </w:sectPr>
      </w:pPr>
    </w:p>
    <w:p>
      <w:pPr>
        <w:spacing w:after="0" w:line="400" w:lineRule="exact"/>
        <w:rPr>
          <w:sz w:val="20"/>
          <w:szCs w:val="20"/>
          <w:color w:val="auto"/>
        </w:rPr>
      </w:pP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84" w:lineRule="exact"/>
        <w:rPr>
          <w:sz w:val="20"/>
          <w:szCs w:val="20"/>
          <w:color w:val="auto"/>
        </w:rPr>
      </w:pPr>
    </w:p>
    <w:p>
      <w:pPr>
        <w:spacing w:after="0" w:line="42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Уровень цифровизации финансовых услуг для физических лиц</w:t>
      </w:r>
      <w:r>
        <w:rPr>
          <w:rFonts w:ascii="Arial" w:cs="Arial" w:eastAsia="Arial" w:hAnsi="Arial"/>
          <w:sz w:val="13"/>
          <w:szCs w:val="13"/>
          <w:color w:val="auto"/>
        </w:rPr>
        <w:t>, %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167005</wp:posOffset>
                </wp:positionV>
                <wp:extent cx="0" cy="737870"/>
                <wp:wrapNone/>
                <wp:docPr id="78" name="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378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8" o:spid="_x0000_s11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7499pt,13.15pt" to="-2.7499pt,71.25pt" o:allowincell="f" strokecolor="#9B8984" strokeweight="0.25pt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92" w:lineRule="exact"/>
        <w:rPr>
          <w:sz w:val="20"/>
          <w:szCs w:val="20"/>
          <w:color w:val="auto"/>
        </w:rPr>
      </w:pPr>
    </w:p>
    <w:p>
      <w:pPr>
        <w:ind w:right="160"/>
        <w:spacing w:after="0" w:line="31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Показатель определяется путем анкетирования кредитных организаций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страховых организаций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МФО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НПФ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управляющих компаний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доверительных управляющих и брокеров с учетом данных отчетности</w:t>
      </w:r>
      <w:r>
        <w:rPr>
          <w:rFonts w:ascii="Arial" w:cs="Arial" w:eastAsia="Arial" w:hAnsi="Arial"/>
          <w:sz w:val="14"/>
          <w:szCs w:val="14"/>
          <w:color w:val="auto"/>
        </w:rPr>
        <w:t>.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В целях расчета показателя установлен перечень наиболее востребованных клиентами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–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физическими лицами услуг по каждому типу организаций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85090</wp:posOffset>
                </wp:positionV>
                <wp:extent cx="0" cy="737870"/>
                <wp:wrapNone/>
                <wp:docPr id="79" name="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378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9" o:spid="_x0000_s110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499pt,6.7pt" to="-2.3499pt,64.8pt" o:allowincell="f" strokecolor="#9B8984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-1972310</wp:posOffset>
                </wp:positionH>
                <wp:positionV relativeFrom="paragraph">
                  <wp:posOffset>83185</wp:posOffset>
                </wp:positionV>
                <wp:extent cx="6116320" cy="0"/>
                <wp:wrapNone/>
                <wp:docPr id="80" name="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0" o:spid="_x0000_s11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55.2999pt,6.55pt" to="326.3pt,6.5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3">
            <w:col w:w="120" w:space="380"/>
            <w:col w:w="2260" w:space="340"/>
            <w:col w:w="6540"/>
          </w:cols>
          <w:pgMar w:left="1140" w:top="660" w:right="1126" w:bottom="1440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5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92" w:lineRule="exact"/>
        <w:rPr>
          <w:sz w:val="20"/>
          <w:szCs w:val="20"/>
          <w:color w:val="auto"/>
        </w:rPr>
      </w:pPr>
    </w:p>
    <w:p>
      <w:pPr>
        <w:spacing w:after="0" w:line="42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Уровень цифровизации финансовых услуг для юридических лиц</w:t>
      </w:r>
      <w:r>
        <w:rPr>
          <w:rFonts w:ascii="Arial" w:cs="Arial" w:eastAsia="Arial" w:hAnsi="Arial"/>
          <w:sz w:val="13"/>
          <w:szCs w:val="13"/>
          <w:color w:val="auto"/>
        </w:rPr>
        <w:t>, %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167005</wp:posOffset>
                </wp:positionV>
                <wp:extent cx="0" cy="981710"/>
                <wp:wrapNone/>
                <wp:docPr id="81" name="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817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1" o:spid="_x0000_s110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7499pt,13.15pt" to="-2.7499pt,90.45pt" o:allowincell="f" strokecolor="#9B8984" strokeweight="0.25pt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00" w:lineRule="exact"/>
        <w:rPr>
          <w:sz w:val="20"/>
          <w:szCs w:val="20"/>
          <w:color w:val="auto"/>
        </w:rPr>
      </w:pPr>
    </w:p>
    <w:p>
      <w:pPr>
        <w:ind w:right="400"/>
        <w:spacing w:after="0" w:line="31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Показатель определяется путем анкетирования кредитных организаций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страховых организаций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МФО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НПФ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управляющих компаний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доверительных управляющих и брокеров с учетом данных отчетности</w:t>
      </w:r>
      <w:r>
        <w:rPr>
          <w:rFonts w:ascii="Arial" w:cs="Arial" w:eastAsia="Arial" w:hAnsi="Arial"/>
          <w:sz w:val="14"/>
          <w:szCs w:val="14"/>
          <w:color w:val="auto"/>
        </w:rPr>
        <w:t>.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Для расчета показателя установлен перечень наиболее востребованных клиентами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–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юридическими лицами услуг по каждому типу организаций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85090</wp:posOffset>
                </wp:positionV>
                <wp:extent cx="0" cy="981710"/>
                <wp:wrapNone/>
                <wp:docPr id="82" name="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817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2" o:spid="_x0000_s110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499pt,6.7pt" to="-2.3499pt,84pt" o:allowincell="f" strokecolor="#9B8984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-1972310</wp:posOffset>
                </wp:positionH>
                <wp:positionV relativeFrom="paragraph">
                  <wp:posOffset>83185</wp:posOffset>
                </wp:positionV>
                <wp:extent cx="6116320" cy="0"/>
                <wp:wrapNone/>
                <wp:docPr id="83" name="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3" o:spid="_x0000_s110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55.2999pt,6.55pt" to="326.3pt,6.5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3">
            <w:col w:w="120" w:space="380"/>
            <w:col w:w="2260" w:space="340"/>
            <w:col w:w="6540"/>
          </w:cols>
          <w:pgMar w:left="1140" w:top="660" w:right="1126" w:bottom="1440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400" w:lineRule="exact"/>
        <w:rPr>
          <w:sz w:val="20"/>
          <w:szCs w:val="20"/>
          <w:color w:val="auto"/>
        </w:rPr>
      </w:pP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6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00" w:lineRule="exact"/>
        <w:rPr>
          <w:sz w:val="20"/>
          <w:szCs w:val="20"/>
          <w:color w:val="auto"/>
        </w:rPr>
      </w:pPr>
    </w:p>
    <w:p>
      <w:pPr>
        <w:spacing w:after="0" w:line="30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Композитный индекс удовлетворенности населения работой финансовых организаций</w:t>
      </w:r>
      <w:r>
        <w:rPr>
          <w:rFonts w:ascii="Arial" w:cs="Arial" w:eastAsia="Arial" w:hAnsi="Arial"/>
          <w:sz w:val="13"/>
          <w:szCs w:val="13"/>
          <w:color w:val="auto"/>
        </w:rPr>
        <w:t>,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финансовыми продуктами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(</w:t>
      </w:r>
      <w:r>
        <w:rPr>
          <w:rFonts w:ascii="Arial" w:cs="Arial" w:eastAsia="Arial" w:hAnsi="Arial"/>
          <w:sz w:val="13"/>
          <w:szCs w:val="13"/>
          <w:color w:val="auto"/>
        </w:rPr>
        <w:t>услугами</w:t>
      </w:r>
      <w:r>
        <w:rPr>
          <w:rFonts w:ascii="Arial" w:cs="Arial" w:eastAsia="Arial" w:hAnsi="Arial"/>
          <w:sz w:val="13"/>
          <w:szCs w:val="13"/>
          <w:color w:val="auto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right="540" w:firstLine="2"/>
        <w:spacing w:after="0" w:line="423" w:lineRule="auto"/>
        <w:tabs>
          <w:tab w:leader="none" w:pos="109" w:val="left"/>
        </w:tabs>
        <w:numPr>
          <w:ilvl w:val="0"/>
          <w:numId w:val="325"/>
        </w:numPr>
        <w:rPr>
          <w:rFonts w:ascii="Arial" w:cs="Arial" w:eastAsia="Arial" w:hAnsi="Arial"/>
          <w:sz w:val="13"/>
          <w:szCs w:val="13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каналами предоставления финансовых услуг</w:t>
      </w:r>
      <w:r>
        <w:rPr>
          <w:rFonts w:ascii="Arial" w:cs="Arial" w:eastAsia="Arial" w:hAnsi="Arial"/>
          <w:sz w:val="13"/>
          <w:szCs w:val="13"/>
          <w:color w:val="auto"/>
        </w:rPr>
        <w:t>,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баллов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-321310</wp:posOffset>
                </wp:positionH>
                <wp:positionV relativeFrom="paragraph">
                  <wp:posOffset>43180</wp:posOffset>
                </wp:positionV>
                <wp:extent cx="6116320" cy="0"/>
                <wp:wrapNone/>
                <wp:docPr id="84" name="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4" o:spid="_x0000_s11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5.2999pt,3.4pt" to="456.3pt,3.4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45085</wp:posOffset>
                </wp:positionV>
                <wp:extent cx="0" cy="498475"/>
                <wp:wrapNone/>
                <wp:docPr id="85" name="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984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9B8984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5" o:spid="_x0000_s111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7499pt,3.55pt" to="-2.7499pt,42.8pt" o:allowincell="f" strokecolor="#9B8984" strokeweight="0.25pt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38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Показатель рассчитывается на основе данных опроса</w:t>
      </w:r>
      <w:r>
        <w:rPr>
          <w:rFonts w:ascii="Arial" w:cs="Arial" w:eastAsia="Arial" w:hAnsi="Arial"/>
          <w:sz w:val="14"/>
          <w:szCs w:val="14"/>
          <w:color w:val="auto"/>
        </w:rPr>
        <w:t>,</w:t>
      </w:r>
      <w:r>
        <w:rPr>
          <w:rFonts w:ascii="Arial" w:cs="Arial" w:eastAsia="Arial" w:hAnsi="Arial"/>
          <w:sz w:val="14"/>
          <w:szCs w:val="14"/>
          <w:color w:val="auto"/>
        </w:rPr>
        <w:t xml:space="preserve"> проводимого по заказу Банка России</w:t>
      </w:r>
    </w:p>
    <w:p>
      <w:pPr>
        <w:spacing w:after="0" w:line="31" w:lineRule="exact"/>
        <w:rPr>
          <w:sz w:val="20"/>
          <w:szCs w:val="20"/>
          <w:color w:val="auto"/>
        </w:rPr>
      </w:pPr>
    </w:p>
    <w:p>
      <w:pPr>
        <w:ind w:right="260" w:firstLine="9"/>
        <w:spacing w:after="0" w:line="298" w:lineRule="auto"/>
        <w:tabs>
          <w:tab w:leader="none" w:pos="99" w:val="left"/>
        </w:tabs>
        <w:numPr>
          <w:ilvl w:val="0"/>
          <w:numId w:val="326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использованием статистических методов анализа данных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Диапазон значений индекса составляет от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0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до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100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баллов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где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100 –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наилучшее значение</w:t>
      </w:r>
    </w:p>
    <w:p>
      <w:pPr>
        <w:spacing w:after="0" w:line="558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3">
            <w:col w:w="120" w:space="380"/>
            <w:col w:w="2320" w:space="280"/>
            <w:col w:w="6540"/>
          </w:cols>
          <w:pgMar w:left="1140" w:top="660" w:right="1126" w:bottom="1440" w:gutter="0" w:footer="0" w:header="0"/>
          <w:type w:val="continuous"/>
        </w:sectPr>
      </w:pP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7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3"/>
          <w:szCs w:val="13"/>
          <w:color w:val="auto"/>
        </w:rPr>
        <w:t>Оценка устойчивости финансового сектора</w:t>
      </w:r>
      <w:r>
        <w:rPr>
          <w:rFonts w:ascii="Arial" w:cs="Arial" w:eastAsia="Arial" w:hAnsi="Arial"/>
          <w:sz w:val="13"/>
          <w:szCs w:val="13"/>
          <w:color w:val="auto"/>
        </w:rPr>
        <w:t>,</w:t>
      </w:r>
      <w:r>
        <w:rPr>
          <w:rFonts w:ascii="Arial" w:cs="Arial" w:eastAsia="Arial" w:hAnsi="Arial"/>
          <w:sz w:val="13"/>
          <w:szCs w:val="13"/>
          <w:color w:val="auto"/>
        </w:rPr>
        <w:t xml:space="preserve"> представленная в регулярном Обзоре финансовой стабильности Банка России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-321310</wp:posOffset>
                </wp:positionH>
                <wp:positionV relativeFrom="paragraph">
                  <wp:posOffset>224155</wp:posOffset>
                </wp:positionV>
                <wp:extent cx="6116320" cy="0"/>
                <wp:wrapNone/>
                <wp:docPr id="86" name="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6" o:spid="_x0000_s111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5.2999pt,17.65pt" to="456.3pt,17.6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2">
            <w:col w:w="120" w:space="380"/>
            <w:col w:w="9140"/>
          </w:cols>
          <w:pgMar w:left="1140" w:top="660" w:right="1126" w:bottom="1440" w:gutter="0" w:footer="0" w:header="0"/>
          <w:type w:val="continuous"/>
        </w:sectPr>
      </w:pPr>
    </w:p>
    <w:bookmarkStart w:id="84" w:name="page85"/>
    <w:bookmarkEnd w:id="8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ind w:left="3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6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Приложение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2.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О реализации Основных направлений развития финансового рынка Российской Федерации в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2024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году</w:t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Ключевые мероприятия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запланированные в Основных направлениях развития финансового рынка Российской Федерации на период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2024 – 2026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исполняются в намеченные сроки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Ниже отмечены наиболее значимые меры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реализованные Банком России совместно с Правительством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при активном взаимодействии с участниками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6" w:right="6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Направление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1.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Создание условий для усиления роли финансового рынка в финансировании трансформации экономики при сохранении устойчивости финансового сектора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 w:right="240" w:hanging="6"/>
        <w:spacing w:after="0" w:line="289" w:lineRule="auto"/>
        <w:tabs>
          <w:tab w:leader="none" w:pos="346" w:val="left"/>
        </w:tabs>
        <w:numPr>
          <w:ilvl w:val="0"/>
          <w:numId w:val="327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Продолжена работа по совершенствованию механизма ведения ИИС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установлена возможность вывода с ИИС типа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средств в связи с особыми обстоятельствами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дорогостоящее лечение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11"/>
          <w:szCs w:val="11"/>
          <w:color w:val="auto"/>
        </w:rPr>
        <w:t>2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утвержден перечень видов дорогостоящего лечения</w:t>
      </w:r>
      <w:r>
        <w:rPr>
          <w:rFonts w:ascii="Arial" w:cs="Arial" w:eastAsia="Arial" w:hAnsi="Arial"/>
          <w:sz w:val="11"/>
          <w:szCs w:val="11"/>
          <w:color w:val="auto"/>
        </w:rPr>
        <w:t>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установлен запрет на приобретение на ИИС ценных бумаг иностранных эмитентов</w:t>
      </w:r>
      <w:r>
        <w:rPr>
          <w:rFonts w:ascii="Arial" w:cs="Arial" w:eastAsia="Arial" w:hAnsi="Arial"/>
          <w:sz w:val="11"/>
          <w:szCs w:val="11"/>
          <w:color w:val="auto"/>
        </w:rPr>
        <w:t>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120" w:hanging="6"/>
        <w:spacing w:after="0" w:line="289" w:lineRule="auto"/>
        <w:tabs>
          <w:tab w:leader="none" w:pos="346" w:val="left"/>
        </w:tabs>
        <w:numPr>
          <w:ilvl w:val="0"/>
          <w:numId w:val="327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Установлен</w:t>
      </w:r>
      <w:r>
        <w:rPr>
          <w:rFonts w:ascii="Arial" w:cs="Arial" w:eastAsia="Arial" w:hAnsi="Arial"/>
          <w:sz w:val="11"/>
          <w:szCs w:val="11"/>
          <w:color w:val="auto"/>
        </w:rPr>
        <w:t>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налоговый вычет на долгосрочные сбережения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распространяется на договоры негосударственного пенсионного обеспечения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договоры долгосрочных сбережений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на ИИС типа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Данная мера направлена на повышение привлекательности инструментов рынка капитала для граждан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8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20" w:hanging="6"/>
        <w:spacing w:after="0" w:line="284" w:lineRule="auto"/>
        <w:tabs>
          <w:tab w:leader="none" w:pos="346" w:val="left"/>
        </w:tabs>
        <w:numPr>
          <w:ilvl w:val="0"/>
          <w:numId w:val="327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Срок софинансирования накоплений граждан по программе долгосрочных сбережений увеличен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лет</w:t>
      </w:r>
      <w:r>
        <w:rPr>
          <w:rFonts w:ascii="Arial" w:cs="Arial" w:eastAsia="Arial" w:hAnsi="Arial"/>
          <w:sz w:val="11"/>
          <w:szCs w:val="11"/>
          <w:color w:val="auto"/>
        </w:rPr>
        <w:t>6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440" w:hanging="6"/>
        <w:spacing w:after="0" w:line="288" w:lineRule="auto"/>
        <w:tabs>
          <w:tab w:leader="none" w:pos="346" w:val="left"/>
        </w:tabs>
        <w:numPr>
          <w:ilvl w:val="0"/>
          <w:numId w:val="327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Уточнен порядок налогообложение долгосрочных вкладов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долгосрочным вкладам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открытым на срок 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условии выплаты процентов в конце срока действия вклада можно будет уменьшать доходы в виде процентов на сумму неиспользованного </w:t>
      </w: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необлагаемого минимума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прошлых лет</w:t>
      </w:r>
      <w:r>
        <w:rPr>
          <w:rFonts w:ascii="Arial" w:cs="Arial" w:eastAsia="Arial" w:hAnsi="Arial"/>
          <w:sz w:val="11"/>
          <w:szCs w:val="11"/>
          <w:color w:val="auto"/>
        </w:rPr>
        <w:t>7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380" w:hanging="6"/>
        <w:spacing w:after="0" w:line="287" w:lineRule="auto"/>
        <w:tabs>
          <w:tab w:leader="none" w:pos="346" w:val="left"/>
        </w:tabs>
        <w:numPr>
          <w:ilvl w:val="0"/>
          <w:numId w:val="327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01.01.2025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доходы от доверительного управления имуществом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составляющим паевый инвестиционный фонд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признаются доходами от операций с ценными бумагами</w:t>
      </w:r>
      <w:r>
        <w:rPr>
          <w:rFonts w:ascii="Arial" w:cs="Arial" w:eastAsia="Arial" w:hAnsi="Arial"/>
          <w:sz w:val="11"/>
          <w:szCs w:val="11"/>
          <w:color w:val="auto"/>
        </w:rPr>
        <w:t>8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Данная новация позволит снизить налоговую нагрузку на физических лиц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9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27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Расширены возможности по инвестированию пенсионных накоплений</w:t>
      </w:r>
      <w:r>
        <w:rPr>
          <w:rFonts w:ascii="Arial" w:cs="Arial" w:eastAsia="Arial" w:hAnsi="Arial"/>
          <w:sz w:val="11"/>
          <w:szCs w:val="11"/>
          <w:color w:val="auto"/>
        </w:rPr>
        <w:t>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резервов</w:t>
      </w:r>
      <w:r>
        <w:rPr>
          <w:rFonts w:ascii="Arial" w:cs="Arial" w:eastAsia="Arial" w:hAnsi="Arial"/>
          <w:sz w:val="11"/>
          <w:szCs w:val="11"/>
          <w:color w:val="auto"/>
        </w:rPr>
        <w:t>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НПФ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289" w:lineRule="auto"/>
        <w:tabs>
          <w:tab w:leader="none" w:pos="155" w:val="left"/>
        </w:tabs>
        <w:numPr>
          <w:ilvl w:val="0"/>
          <w:numId w:val="3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акции российских компаний в рамках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IPO.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Участие институциональных инвесторов будет стимулировать новые публичные размещения акций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доступных для размещения пенсионных резервов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дополнен внебиржевыми СПФИ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процентными деривативами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006391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   Разработана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5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концепция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дифференциации лимита страхового возмещения и ставок отчислений</w:t>
      </w:r>
    </w:p>
    <w:p>
      <w:pPr>
        <w:spacing w:after="0" w:line="64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280" w:hanging="6"/>
        <w:spacing w:after="0" w:line="296" w:lineRule="auto"/>
        <w:tabs>
          <w:tab w:leader="none" w:pos="169" w:val="left"/>
        </w:tabs>
        <w:numPr>
          <w:ilvl w:val="0"/>
          <w:numId w:val="3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ФОСВ в зависимости от вида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срока и валюты вклада в целях снижения разрывов срочности банковских активов и пассивов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дезинфляционного эффекта долгосрочных сбережений и притока длинных денег в экономику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итогам обсуждения концепции будут разработаны изменения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113030</wp:posOffset>
                </wp:positionV>
                <wp:extent cx="1259840" cy="0"/>
                <wp:wrapNone/>
                <wp:docPr id="87" name="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7" o:spid="_x0000_s111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9pt" to="99.2pt,8.9pt" o:allowincell="f" strokecolor="#000000" strokeweight="0.25pt"/>
            </w:pict>
          </mc:Fallback>
        </mc:AlternateContent>
      </w:r>
    </w:p>
    <w:p>
      <w:pPr>
        <w:spacing w:after="0" w:line="296" w:lineRule="exact"/>
        <w:rPr>
          <w:sz w:val="20"/>
          <w:szCs w:val="20"/>
          <w:color w:val="auto"/>
        </w:rPr>
      </w:pPr>
    </w:p>
    <w:p>
      <w:pPr>
        <w:ind w:left="106" w:hanging="106"/>
        <w:spacing w:after="0" w:line="184" w:lineRule="exact"/>
        <w:tabs>
          <w:tab w:leader="none" w:pos="106" w:val="left"/>
        </w:tabs>
        <w:numPr>
          <w:ilvl w:val="0"/>
          <w:numId w:val="329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08.04.2024 № 6713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У.</w:t>
      </w:r>
    </w:p>
    <w:p>
      <w:pPr>
        <w:spacing w:after="0" w:line="99" w:lineRule="exact"/>
        <w:rPr>
          <w:sz w:val="20"/>
          <w:szCs w:val="20"/>
          <w:color w:val="auto"/>
        </w:rPr>
      </w:pPr>
    </w:p>
    <w:p>
      <w:pPr>
        <w:ind w:left="106" w:hanging="106"/>
        <w:spacing w:after="0" w:line="184" w:lineRule="exact"/>
        <w:tabs>
          <w:tab w:leader="none" w:pos="106" w:val="left"/>
        </w:tabs>
        <w:numPr>
          <w:ilvl w:val="0"/>
          <w:numId w:val="330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Распоряжение Правительства Российской Федерации от 18.01.2024 № 76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р.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6"/>
        <w:spacing w:after="0" w:line="184" w:lineRule="exact"/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4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Распоряжение Правительства Российской Федерации от 22.01.2024 № 104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р.</w:t>
      </w:r>
    </w:p>
    <w:p>
      <w:pPr>
        <w:spacing w:after="0" w:line="99" w:lineRule="exact"/>
        <w:rPr>
          <w:sz w:val="20"/>
          <w:szCs w:val="20"/>
          <w:color w:val="auto"/>
        </w:rPr>
      </w:pPr>
    </w:p>
    <w:p>
      <w:pPr>
        <w:ind w:left="106" w:right="180" w:hanging="106"/>
        <w:spacing w:after="0" w:line="190" w:lineRule="exact"/>
        <w:tabs>
          <w:tab w:leader="none" w:pos="106" w:val="left"/>
        </w:tabs>
        <w:numPr>
          <w:ilvl w:val="0"/>
          <w:numId w:val="331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23.03.2024 № 58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статьи 102 и 126-2 части первой и часть вторую Налогового кодекса Российской Федерации».</w:t>
      </w:r>
    </w:p>
    <w:p>
      <w:pPr>
        <w:spacing w:after="0" w:line="97" w:lineRule="exact"/>
        <w:rPr>
          <w:sz w:val="20"/>
          <w:szCs w:val="20"/>
          <w:color w:val="auto"/>
        </w:rPr>
      </w:pPr>
    </w:p>
    <w:p>
      <w:pPr>
        <w:ind w:left="106" w:right="560" w:hanging="106"/>
        <w:spacing w:after="0" w:line="254" w:lineRule="auto"/>
        <w:tabs>
          <w:tab w:leader="none" w:pos="106" w:val="left"/>
        </w:tabs>
        <w:numPr>
          <w:ilvl w:val="0"/>
          <w:numId w:val="33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13.07.2024 № 177-ФЗ «О внесении изменений в Бюджетный кодекс Российской Федерации и отдельные законодательные акты Российской Федерации».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ind w:left="106" w:right="380" w:hanging="106"/>
        <w:spacing w:after="0" w:line="254" w:lineRule="auto"/>
        <w:tabs>
          <w:tab w:leader="none" w:pos="106" w:val="left"/>
        </w:tabs>
        <w:numPr>
          <w:ilvl w:val="0"/>
          <w:numId w:val="333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08.08.2024 № 259-ФЗ «О внесении изменений в части первую и вторую Налогового кодекса Российской Федерации и отдельные законодательные акты Российской Федерации».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ind w:left="106" w:right="420" w:hanging="106"/>
        <w:spacing w:after="0" w:line="254" w:lineRule="auto"/>
        <w:tabs>
          <w:tab w:leader="none" w:pos="106" w:val="left"/>
        </w:tabs>
        <w:numPr>
          <w:ilvl w:val="0"/>
          <w:numId w:val="334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29.10.2024 № 362-ФЗ «О внесении изменений в части первую и вторую Налогового кодекса Российской Федерации и отдельные законодательные акты Российской Федерации».</w:t>
      </w:r>
    </w:p>
    <w:p>
      <w:pPr>
        <w:spacing w:after="0" w:line="86" w:lineRule="exact"/>
        <w:rPr>
          <w:sz w:val="20"/>
          <w:szCs w:val="20"/>
          <w:color w:val="auto"/>
        </w:rPr>
      </w:pPr>
    </w:p>
    <w:p>
      <w:pPr>
        <w:ind w:left="106" w:hanging="106"/>
        <w:spacing w:after="0" w:line="184" w:lineRule="exact"/>
        <w:tabs>
          <w:tab w:leader="none" w:pos="106" w:val="left"/>
        </w:tabs>
        <w:numPr>
          <w:ilvl w:val="0"/>
          <w:numId w:val="33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22.05.2024 № 6732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9"/>
          <w:szCs w:val="9"/>
          <w:color w:val="auto"/>
        </w:rPr>
        <w:t>10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Указание Банка России от 18.06.2024 № 6759-У.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85" w:name="page86"/>
    <w:bookmarkEnd w:id="8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82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34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88" name="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8" o:spid="_x0000_s111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6" w:right="420" w:hanging="6"/>
        <w:spacing w:after="0" w:line="287" w:lineRule="auto"/>
        <w:tabs>
          <w:tab w:leader="none" w:pos="169" w:val="left"/>
        </w:tabs>
        <w:numPr>
          <w:ilvl w:val="0"/>
          <w:numId w:val="3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регулирование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направленные на стимулирование притока рублевых долгосрочных банковских вкладов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безотзывных сберегательных сертификатов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"/>
        <w:spacing w:after="0" w:line="299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При активном участии Банка России принят закон</w:t>
      </w:r>
      <w:r>
        <w:rPr>
          <w:rFonts w:ascii="Arial" w:cs="Arial" w:eastAsia="Arial" w:hAnsi="Arial"/>
          <w:sz w:val="11"/>
          <w:szCs w:val="11"/>
          <w:color w:val="000000"/>
        </w:rPr>
        <w:t>11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о переходе на кредитный рейтинг как единый критерий отбора банков для размещения в них публичных средств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(</w:t>
      </w:r>
      <w:r>
        <w:rPr>
          <w:rFonts w:ascii="Arial" w:cs="Arial" w:eastAsia="Arial" w:hAnsi="Arial"/>
          <w:sz w:val="20"/>
          <w:szCs w:val="20"/>
          <w:color w:val="000000"/>
        </w:rPr>
        <w:t>вместо перечня требований</w:t>
      </w:r>
      <w:r>
        <w:rPr>
          <w:rFonts w:ascii="Arial" w:cs="Arial" w:eastAsia="Arial" w:hAnsi="Arial"/>
          <w:sz w:val="20"/>
          <w:szCs w:val="20"/>
          <w:color w:val="000000"/>
        </w:rPr>
        <w:t>,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0" w:hanging="6"/>
        <w:spacing w:after="0" w:line="287" w:lineRule="auto"/>
        <w:tabs>
          <w:tab w:leader="none" w:pos="169" w:val="left"/>
        </w:tabs>
        <w:numPr>
          <w:ilvl w:val="0"/>
          <w:numId w:val="3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том числе к размеру капитала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Закон призван повысить прозрачность и объективность процедуры отбора банков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расширить конкурентные возможности для небольших кредитных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   В рамках совершенствования регулирования кредитных организаций</w:t>
      </w:r>
      <w:r>
        <w:rPr>
          <w:rFonts w:ascii="Arial" w:cs="Arial" w:eastAsia="Arial" w:hAnsi="Arial"/>
          <w:sz w:val="20"/>
          <w:szCs w:val="20"/>
          <w:color w:val="000000"/>
        </w:rPr>
        <w:t>:</w:t>
      </w:r>
    </w:p>
    <w:p>
      <w:pPr>
        <w:spacing w:after="0" w:line="58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right="68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2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докладе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для обсуждения Банк России представил предложения по снижению рисков кредитной концентрации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реализация которых позволит снизить соответствующие риски</w:t>
      </w:r>
    </w:p>
    <w:p>
      <w:pPr>
        <w:ind w:left="346" w:right="380" w:hanging="6"/>
        <w:spacing w:after="0" w:line="292" w:lineRule="auto"/>
        <w:tabs>
          <w:tab w:leader="none" w:pos="512" w:val="left"/>
        </w:tabs>
        <w:numPr>
          <w:ilvl w:val="1"/>
          <w:numId w:val="3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сохранением необходимого потенциала кредитования крупнейших компаний и будет способствовать более справедливому ценообразованию на рынке кредитов и облигаций для всех участников рынка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проведена настройка лимитов ОВП</w:t>
      </w:r>
      <w:r>
        <w:rPr>
          <w:rFonts w:ascii="Arial" w:cs="Arial" w:eastAsia="Arial" w:hAnsi="Arial"/>
          <w:sz w:val="11"/>
          <w:szCs w:val="11"/>
          <w:color w:val="auto"/>
        </w:rPr>
        <w:t>12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целью балансировки валютной структуры активов</w:t>
      </w:r>
    </w:p>
    <w:p>
      <w:pPr>
        <w:jc w:val="both"/>
        <w:ind w:left="346" w:right="140"/>
        <w:spacing w:after="0" w:line="292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обязательств банков и исключения занижения валютного риска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июля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введены новые лимиты балансовых ОВП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позволят уменьшить избыточную зависимость банков</w:t>
      </w:r>
    </w:p>
    <w:p>
      <w:pPr>
        <w:ind w:left="3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 срочных сделок как инструментов снижения валютного риска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ситуации стресса они могут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3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быть недоступными или дорогими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Более гибкие сроки урегулирования ОВП позволят смягчить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3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влияние операций банков на валютный рынок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внесены изменения в расчет рыночного риска</w:t>
      </w:r>
      <w:r>
        <w:rPr>
          <w:rFonts w:ascii="Arial" w:cs="Arial" w:eastAsia="Arial" w:hAnsi="Arial"/>
          <w:sz w:val="11"/>
          <w:szCs w:val="11"/>
          <w:color w:val="auto"/>
        </w:rPr>
        <w:t>13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снижения нагрузки на капитал банков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346" w:right="28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содействия развитию практик хеджирования рисков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июля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из расчета рыночного риска исключены производные финансовые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предназначенные для покрытия рисков банковского баланса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 риска убытка от изменения процентных ставок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3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 уточнен порядок расчета СЗКО действующего норматива краткосрочной ликвидности</w:t>
      </w:r>
      <w:r>
        <w:rPr>
          <w:rFonts w:ascii="Arial" w:cs="Arial" w:eastAsia="Arial" w:hAnsi="Arial"/>
          <w:sz w:val="11"/>
          <w:szCs w:val="11"/>
          <w:color w:val="auto"/>
        </w:rPr>
        <w:t>14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346" w:right="1000"/>
        <w:spacing w:after="0" w:line="28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СЗКО предоставлена возможность применения национальных рейтингов для определения высоколиквидных активов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" w:lineRule="exact"/>
        <w:rPr>
          <w:sz w:val="20"/>
          <w:szCs w:val="20"/>
          <w:color w:val="auto"/>
        </w:rPr>
      </w:pPr>
    </w:p>
    <w:p>
      <w:pPr>
        <w:ind w:left="6" w:right="360" w:hanging="6"/>
        <w:spacing w:after="0" w:line="284" w:lineRule="auto"/>
        <w:tabs>
          <w:tab w:leader="none" w:pos="346" w:val="left"/>
        </w:tabs>
        <w:numPr>
          <w:ilvl w:val="0"/>
          <w:numId w:val="337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Снижен минимальный размер удерживаемого оригинатором риска</w:t>
      </w:r>
      <w:r>
        <w:rPr>
          <w:rFonts w:ascii="Arial" w:cs="Arial" w:eastAsia="Arial" w:hAnsi="Arial"/>
          <w:sz w:val="11"/>
          <w:szCs w:val="11"/>
          <w:color w:val="auto"/>
        </w:rPr>
        <w:t>15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сделках неипотечной секьюритизации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9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37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В рамках совершенствования регулирования ПУРЦБ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49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346"/>
        <w:spacing w:after="0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 установлен</w:t>
      </w:r>
      <w:r>
        <w:rPr>
          <w:rFonts w:ascii="Arial" w:cs="Arial" w:eastAsia="Arial" w:hAnsi="Arial"/>
          <w:sz w:val="11"/>
          <w:szCs w:val="11"/>
          <w:color w:val="auto"/>
        </w:rPr>
        <w:t>16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порядок передачи информации о клиентах и их расходах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346" w:right="240"/>
        <w:spacing w:after="0" w:line="294" w:lineRule="auto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 приобретением и хранением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между ПУРЦБ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использованием системы электронного документооборота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расширен</w:t>
      </w:r>
      <w:r>
        <w:rPr>
          <w:rFonts w:ascii="Arial" w:cs="Arial" w:eastAsia="Arial" w:hAnsi="Arial"/>
          <w:sz w:val="11"/>
          <w:szCs w:val="11"/>
          <w:color w:val="auto"/>
        </w:rPr>
        <w:t>17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периметр дилерской деятельности и деятельности форекс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дилеров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</w:p>
    <w:p>
      <w:pPr>
        <w:ind w:left="346"/>
        <w:spacing w:after="0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распространены ограничения размера обеспечения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требуемого для открытия позиций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346" w:right="60"/>
        <w:spacing w:after="0" w:line="296" w:lineRule="auto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квалифицированных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предусмотрено поэтапное снижение отношения размера обеспечения к размеру обязательств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установленного для закрытия позиций неквалифицированных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328295</wp:posOffset>
                </wp:positionV>
                <wp:extent cx="1259840" cy="0"/>
                <wp:wrapNone/>
                <wp:docPr id="89" name="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9" o:spid="_x0000_s111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5.85pt" to="99.2pt,25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4" w:lineRule="exact"/>
        <w:rPr>
          <w:sz w:val="20"/>
          <w:szCs w:val="20"/>
          <w:color w:val="auto"/>
        </w:rPr>
      </w:pPr>
    </w:p>
    <w:p>
      <w:pPr>
        <w:ind w:left="126" w:right="320" w:hanging="126"/>
        <w:spacing w:after="0" w:line="190" w:lineRule="exact"/>
        <w:tabs>
          <w:tab w:leader="none" w:pos="126" w:val="left"/>
        </w:tabs>
        <w:numPr>
          <w:ilvl w:val="0"/>
          <w:numId w:val="33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13.12.2024 № 475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отдельные законодательные акты Российской Федерации».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hanging="146"/>
        <w:spacing w:after="0" w:line="184" w:lineRule="exact"/>
        <w:tabs>
          <w:tab w:leader="none" w:pos="146" w:val="left"/>
        </w:tabs>
        <w:numPr>
          <w:ilvl w:val="0"/>
          <w:numId w:val="33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Инструкция Банка России от 10.01.2024 № 213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И.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hanging="146"/>
        <w:spacing w:after="0" w:line="184" w:lineRule="exact"/>
        <w:tabs>
          <w:tab w:leader="none" w:pos="146" w:val="left"/>
        </w:tabs>
        <w:numPr>
          <w:ilvl w:val="0"/>
          <w:numId w:val="33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01.02.2024 № 6676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hanging="146"/>
        <w:spacing w:after="0" w:line="184" w:lineRule="exact"/>
        <w:tabs>
          <w:tab w:leader="none" w:pos="146" w:val="left"/>
        </w:tabs>
        <w:numPr>
          <w:ilvl w:val="0"/>
          <w:numId w:val="33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10.01.2024 № 6667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540" w:hanging="146"/>
        <w:spacing w:after="0" w:line="190" w:lineRule="exact"/>
        <w:tabs>
          <w:tab w:leader="none" w:pos="146" w:val="left"/>
        </w:tabs>
        <w:numPr>
          <w:ilvl w:val="0"/>
          <w:numId w:val="33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26.10.2024 № 355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статью 42 Федерального закона «О рынке ценных бумаг».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380" w:hanging="146"/>
        <w:spacing w:after="0" w:line="190" w:lineRule="exact"/>
        <w:tabs>
          <w:tab w:leader="none" w:pos="147" w:val="left"/>
        </w:tabs>
        <w:numPr>
          <w:ilvl w:val="0"/>
          <w:numId w:val="33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29.05.2024 № 120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статьи 3 и 5 Федерального закона «О рынке ценных бумаг».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hanging="146"/>
        <w:spacing w:after="0" w:line="184" w:lineRule="exact"/>
        <w:tabs>
          <w:tab w:leader="none" w:pos="146" w:val="left"/>
        </w:tabs>
        <w:numPr>
          <w:ilvl w:val="0"/>
          <w:numId w:val="33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23.03.2024 № 50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Федеральный закон «О рынке ценных бумаг»</w:t>
      </w:r>
    </w:p>
    <w:p>
      <w:pPr>
        <w:spacing w:after="0" w:line="8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/>
        <w:spacing w:after="0"/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и статью 11 Федерального закона «О внесении изменений в отдельные законодательные акты Российской Федерации».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32" w:gutter="0" w:footer="0" w:header="0"/>
        </w:sectPr>
      </w:pPr>
    </w:p>
    <w:bookmarkStart w:id="86" w:name="page87"/>
    <w:bookmarkEnd w:id="8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ind w:left="3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актуализирован</w:t>
      </w:r>
      <w:r>
        <w:rPr>
          <w:rFonts w:ascii="Arial" w:cs="Arial" w:eastAsia="Arial" w:hAnsi="Arial"/>
          <w:sz w:val="11"/>
          <w:szCs w:val="11"/>
          <w:color w:val="auto"/>
        </w:rPr>
        <w:t>18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раскрываемой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установлены ограничения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3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включение в раскрываемую информацию гарантий или обещаний в будущем эффективности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3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деятельности или доходности инвестиций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установлено</w:t>
      </w:r>
      <w:r>
        <w:rPr>
          <w:rFonts w:ascii="Arial" w:cs="Arial" w:eastAsia="Arial" w:hAnsi="Arial"/>
          <w:sz w:val="11"/>
          <w:szCs w:val="11"/>
          <w:color w:val="auto"/>
        </w:rPr>
        <w:t>19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новое определение понятия индивидуальной инвестиционной рекомендации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346" w:right="1100"/>
        <w:spacing w:after="0" w:line="28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 также скорректирован перечень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не является индивидуальной инвестиционной рекомендацией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9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39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Установлен запрет</w:t>
      </w:r>
      <w:r>
        <w:rPr>
          <w:rFonts w:ascii="Arial" w:cs="Arial" w:eastAsia="Arial" w:hAnsi="Arial"/>
          <w:sz w:val="11"/>
          <w:szCs w:val="11"/>
          <w:color w:val="auto"/>
        </w:rPr>
        <w:t>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передачу клиентам по ИСЖ и НСЖ риска санкций инфраструктуры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5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новым договорам страховщики не смогут отказывать своим клиентам в выплате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/>
        <w:spacing w:after="0" w:line="230" w:lineRule="exact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из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за блокировки платежей по иностранным активам в результате санкционных ограничений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44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39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 февраля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будет введена</w:t>
      </w:r>
      <w:r>
        <w:rPr>
          <w:rFonts w:ascii="Arial" w:cs="Arial" w:eastAsia="Arial" w:hAnsi="Arial"/>
          <w:sz w:val="11"/>
          <w:szCs w:val="11"/>
          <w:color w:val="auto"/>
        </w:rPr>
        <w:t>21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новая модель допуска КПК на финансовый рынок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установлены требования к деловой репутации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или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квалификации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входящих в состав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8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их органов управления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Данные меры помогут повысить прозрачность отрасли и эффективность защиты прав потребителей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301" w:lineRule="auto"/>
        <w:tabs>
          <w:tab w:leader="none" w:pos="346" w:val="left"/>
        </w:tabs>
        <w:numPr>
          <w:ilvl w:val="0"/>
          <w:numId w:val="340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</w:t>
      </w:r>
      <w:r>
        <w:rPr>
          <w:rFonts w:ascii="Arial" w:cs="Arial" w:eastAsia="Arial" w:hAnsi="Arial"/>
          <w:sz w:val="11"/>
          <w:szCs w:val="11"/>
          <w:color w:val="auto"/>
        </w:rPr>
        <w:t>22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направленный на создание условий для развития национальной системы финансовых и товарных индикаторов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их администрирование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64" w:lineRule="exact"/>
        <w:rPr>
          <w:sz w:val="20"/>
          <w:szCs w:val="20"/>
          <w:color w:val="auto"/>
        </w:rPr>
      </w:pPr>
    </w:p>
    <w:p>
      <w:pPr>
        <w:ind w:left="6" w:right="11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Направление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2.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Защита прав потребителей финансовых услуг и инвесторов</w:t>
      </w:r>
      <w:r>
        <w:rPr>
          <w:rFonts w:ascii="Arial" w:cs="Arial" w:eastAsia="Arial" w:hAnsi="Arial"/>
          <w:sz w:val="20"/>
          <w:szCs w:val="20"/>
          <w:color w:val="006391"/>
        </w:rPr>
        <w:t>,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повышение финансовой доступности для граждан и бизнеса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41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закон</w:t>
      </w:r>
      <w:r>
        <w:rPr>
          <w:rFonts w:ascii="Arial" w:cs="Arial" w:eastAsia="Arial" w:hAnsi="Arial"/>
          <w:sz w:val="11"/>
          <w:szCs w:val="11"/>
          <w:color w:val="auto"/>
        </w:rPr>
        <w:t>23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изменяющий требования к квалификации инвестора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hanging="6"/>
        <w:spacing w:after="0" w:line="289" w:lineRule="auto"/>
        <w:tabs>
          <w:tab w:leader="none" w:pos="346" w:val="left"/>
        </w:tabs>
        <w:numPr>
          <w:ilvl w:val="0"/>
          <w:numId w:val="341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Предусмотрена необходимость</w:t>
      </w:r>
      <w:r>
        <w:rPr>
          <w:rFonts w:ascii="Arial" w:cs="Arial" w:eastAsia="Arial" w:hAnsi="Arial"/>
          <w:sz w:val="11"/>
          <w:szCs w:val="11"/>
          <w:color w:val="auto"/>
        </w:rPr>
        <w:t>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учета брокером клиентских позиций по опционным договорам в расчете норматива покрытия риска при совершении маржинальных сделок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Введена также новая категория клиентов брокеров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начальным уровнем риска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которой относятся начинающие инвесторы без опыта торговли ценными бумагами и производными финансовыми инструментами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таких инвесторов установлены более жесткие лимиты на риск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брокеры должны будут заранее предупреждать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их поручение может привести к сделке с плечом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540" w:hanging="6"/>
        <w:spacing w:after="0" w:line="287" w:lineRule="auto"/>
        <w:tabs>
          <w:tab w:leader="none" w:pos="346" w:val="left"/>
        </w:tabs>
        <w:numPr>
          <w:ilvl w:val="0"/>
          <w:numId w:val="341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закон</w:t>
      </w:r>
      <w:r>
        <w:rPr>
          <w:rFonts w:ascii="Arial" w:cs="Arial" w:eastAsia="Arial" w:hAnsi="Arial"/>
          <w:sz w:val="11"/>
          <w:szCs w:val="11"/>
          <w:color w:val="auto"/>
        </w:rPr>
        <w:t>25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предоставляющий возможность применения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марта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механизма установления гражданином в своей кредитной истории самозапрета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9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160" w:hanging="6"/>
        <w:spacing w:after="0" w:line="287" w:lineRule="auto"/>
        <w:tabs>
          <w:tab w:leader="none" w:pos="346" w:val="left"/>
        </w:tabs>
        <w:numPr>
          <w:ilvl w:val="0"/>
          <w:numId w:val="341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Обеспечено</w:t>
      </w:r>
      <w:r>
        <w:rPr>
          <w:rFonts w:ascii="Arial" w:cs="Arial" w:eastAsia="Arial" w:hAnsi="Arial"/>
          <w:sz w:val="11"/>
          <w:szCs w:val="11"/>
          <w:color w:val="auto"/>
        </w:rPr>
        <w:t>26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межведомственное взаимодействие в сфере повышения финансовой грамотности и формирования финансовой культуры населения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9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520" w:hanging="6"/>
        <w:spacing w:after="0" w:line="307" w:lineRule="auto"/>
        <w:tabs>
          <w:tab w:leader="none" w:pos="346" w:val="left"/>
        </w:tabs>
        <w:numPr>
          <w:ilvl w:val="0"/>
          <w:numId w:val="341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Предусмотрено</w:t>
      </w:r>
      <w:r>
        <w:rPr>
          <w:rFonts w:ascii="Arial" w:cs="Arial" w:eastAsia="Arial" w:hAnsi="Arial"/>
          <w:sz w:val="11"/>
          <w:szCs w:val="11"/>
          <w:color w:val="auto"/>
        </w:rPr>
        <w:t>27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оказывать услуги по публичному привлечению инвестиций от граждан могут только компании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поднадзорные Банку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другие посредники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легально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1259840" cy="0"/>
                <wp:wrapNone/>
                <wp:docPr id="90" name="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0" o:spid="_x0000_s111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9pt" to="99.2pt,29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8" w:lineRule="exact"/>
        <w:rPr>
          <w:sz w:val="20"/>
          <w:szCs w:val="20"/>
          <w:color w:val="auto"/>
        </w:rPr>
      </w:pPr>
    </w:p>
    <w:p>
      <w:pPr>
        <w:ind w:left="146" w:hanging="146"/>
        <w:spacing w:after="0" w:line="184" w:lineRule="exact"/>
        <w:tabs>
          <w:tab w:leader="none" w:pos="146" w:val="left"/>
        </w:tabs>
        <w:numPr>
          <w:ilvl w:val="0"/>
          <w:numId w:val="3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02.08.2023 № 6496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 вступило в силу 01.04.2024.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580" w:hanging="146"/>
        <w:spacing w:after="0" w:line="254" w:lineRule="auto"/>
        <w:tabs>
          <w:tab w:leader="none" w:pos="152" w:val="left"/>
        </w:tabs>
        <w:numPr>
          <w:ilvl w:val="0"/>
          <w:numId w:val="3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Базовый стандарт совершения инвестиционным советником операций на финансовом рынке» (утвержден Банком России, протокол от 16.11.2023 № КФНП-37).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 w:line="184" w:lineRule="exact"/>
        <w:tabs>
          <w:tab w:leader="none" w:pos="166" w:val="left"/>
        </w:tabs>
        <w:numPr>
          <w:ilvl w:val="0"/>
          <w:numId w:val="3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15.01.2024 № 6671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200" w:hanging="146"/>
        <w:spacing w:after="0" w:line="190" w:lineRule="exact"/>
        <w:tabs>
          <w:tab w:leader="none" w:pos="139" w:val="left"/>
        </w:tabs>
        <w:numPr>
          <w:ilvl w:val="0"/>
          <w:numId w:val="3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08.08.2024 № 254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отдельные законодательные акты Российской Федерации».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 w:line="184" w:lineRule="exact"/>
        <w:tabs>
          <w:tab w:leader="none" w:pos="166" w:val="left"/>
        </w:tabs>
        <w:numPr>
          <w:ilvl w:val="0"/>
          <w:numId w:val="3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13.12.2024 № 452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«Об администраторах финансовых и товарных индикаторов».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280" w:hanging="166"/>
        <w:spacing w:after="0" w:line="254" w:lineRule="auto"/>
        <w:tabs>
          <w:tab w:leader="none" w:pos="166" w:val="left"/>
        </w:tabs>
        <w:numPr>
          <w:ilvl w:val="0"/>
          <w:numId w:val="3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23.11.2024 № 390-ФЗ «О внесении изменений в отдельные законодательные акты Российской Федерации».</w:t>
      </w:r>
    </w:p>
    <w:p>
      <w:pPr>
        <w:spacing w:after="0" w:line="8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 w:line="184" w:lineRule="exact"/>
        <w:tabs>
          <w:tab w:leader="none" w:pos="166" w:val="left"/>
        </w:tabs>
        <w:numPr>
          <w:ilvl w:val="0"/>
          <w:numId w:val="3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12.02.2024 № 6681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400" w:hanging="166"/>
        <w:spacing w:after="0" w:line="190" w:lineRule="exact"/>
        <w:tabs>
          <w:tab w:leader="none" w:pos="158" w:val="left"/>
        </w:tabs>
        <w:numPr>
          <w:ilvl w:val="0"/>
          <w:numId w:val="3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26.02.2024 № 31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Федеральный закон «О кредитных историях» и Федеральный закон «О потребительском кредите (займе)».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880" w:hanging="146"/>
        <w:spacing w:after="0" w:line="252" w:lineRule="auto"/>
        <w:tabs>
          <w:tab w:leader="none" w:pos="171" w:val="left"/>
        </w:tabs>
        <w:numPr>
          <w:ilvl w:val="0"/>
          <w:numId w:val="3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Постановлением Правительства Российской Федерации от 14.02.2024 № 162 образована Межведомственная координационная комиссия по реализации Стратегии повышения финансовой грамотности и формирования финансовой культуры до 2030 года.</w:t>
      </w:r>
    </w:p>
    <w:p>
      <w:pPr>
        <w:spacing w:after="0" w:line="87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hanging="146"/>
        <w:spacing w:after="0" w:line="184" w:lineRule="exact"/>
        <w:tabs>
          <w:tab w:leader="none" w:pos="146" w:val="left"/>
        </w:tabs>
        <w:numPr>
          <w:ilvl w:val="0"/>
          <w:numId w:val="34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08.08.2024 № 278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статью 5 Закона Российской Федерации</w:t>
      </w:r>
    </w:p>
    <w:p>
      <w:pPr>
        <w:spacing w:after="0" w:line="8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220"/>
        <w:spacing w:after="0" w:line="254" w:lineRule="auto"/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«О потребительской кооперации (потребительских обществах, их союзах) в Российской Федерации» и «Федеральный закон «О защите прав и законных интересов инвесторов на рынке ценных бумаг».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bookmarkStart w:id="87" w:name="page88"/>
    <w:bookmarkEnd w:id="8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84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34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91" name="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1" o:spid="_x0000_s111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7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8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привлекающих инвестиции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Новация позволит оградить граждан от псевдоинвестиционных схем и финансовых пирамид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43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Разработана</w:t>
      </w:r>
      <w:r>
        <w:rPr>
          <w:rFonts w:ascii="Arial" w:cs="Arial" w:eastAsia="Arial" w:hAnsi="Arial"/>
          <w:sz w:val="11"/>
          <w:szCs w:val="11"/>
          <w:color w:val="auto"/>
        </w:rPr>
        <w:t>28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новая линейка банковских продуктов для граждан с невысокими доходами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5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160"/>
        <w:spacing w:after="0" w:line="289" w:lineRule="auto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которые получают социальную поддержку от государства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Социальный банковский вклад предусматривает гарантированное начисление дохода с процентной ставкой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привязанной к максимальному размеру процентной ставки по вкладам физических лиц сроком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включительно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привлекаемым кредитной организацией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Социальный банковский счет предполагает начисление на остаток процентов не менее половины ключевой ставки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совершение операций без комиссии в установленном законом размере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8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jc w:val="both"/>
        <w:ind w:left="6" w:right="680" w:hanging="6"/>
        <w:spacing w:after="0" w:line="292" w:lineRule="auto"/>
        <w:tabs>
          <w:tab w:leader="none" w:pos="346" w:val="left"/>
        </w:tabs>
        <w:numPr>
          <w:ilvl w:val="0"/>
          <w:numId w:val="343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В целях ограничения рисков переменных ставок по кредитам и займам при участии Банка России приняты законодательные изменения</w:t>
      </w:r>
      <w:r>
        <w:rPr>
          <w:rFonts w:ascii="Arial" w:cs="Arial" w:eastAsia="Arial" w:hAnsi="Arial"/>
          <w:sz w:val="11"/>
          <w:szCs w:val="11"/>
          <w:color w:val="auto"/>
        </w:rPr>
        <w:t>29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регулирующие особенности потребительских кредитов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займов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кредитов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займов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микропредприятий с переменной ставкой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200"/>
        <w:spacing w:after="0" w:line="287" w:lineRule="auto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устанавливаются правила информирования заемщика о рисках использования переменной процентной ставки и право заемщика обратиться к кредитору с требованием об увеличении срока возврата кредита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займа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предусмотренных законом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9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220" w:hanging="6"/>
        <w:spacing w:after="0" w:line="275" w:lineRule="exact"/>
        <w:tabs>
          <w:tab w:leader="none" w:pos="346" w:val="left"/>
        </w:tabs>
        <w:numPr>
          <w:ilvl w:val="0"/>
          <w:numId w:val="343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февраля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банки обязаны бесплатно информировать физических лиц об истечении срока вклада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открытого на определенный срок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позднее чем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календарных дней до даты истечения срока вклада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клиент мог заранее перераспределить свои средства в том числе из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за меняющихся предложений на рынке от других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по вкладам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внесенным на условиях выдачи по наступлении предусмотренных договорами обстоятельств</w:t>
      </w:r>
      <w:r>
        <w:rPr>
          <w:rFonts w:ascii="Arial" w:cs="Arial" w:eastAsia="Arial" w:hAnsi="Arial"/>
          <w:sz w:val="20"/>
          <w:szCs w:val="20"/>
          <w:color w:val="auto"/>
        </w:rPr>
        <w:t>,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течение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календарных дней после дня наступления таких обстоятельств</w:t>
      </w:r>
      <w:r>
        <w:rPr>
          <w:rFonts w:ascii="Arial" w:cs="Arial" w:eastAsia="Arial" w:hAnsi="Arial"/>
          <w:sz w:val="11"/>
          <w:szCs w:val="11"/>
          <w:color w:val="auto"/>
        </w:rPr>
        <w:t>30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Направление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3.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Цифровизация финансового рынка и развитие платежной инфраструктуры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0" w:lineRule="auto"/>
        <w:tabs>
          <w:tab w:leader="none" w:pos="346" w:val="left"/>
        </w:tabs>
        <w:numPr>
          <w:ilvl w:val="0"/>
          <w:numId w:val="344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Обеспечены</w:t>
      </w:r>
      <w:r>
        <w:rPr>
          <w:rFonts w:ascii="Arial" w:cs="Arial" w:eastAsia="Arial" w:hAnsi="Arial"/>
          <w:sz w:val="11"/>
          <w:szCs w:val="11"/>
          <w:color w:val="auto"/>
        </w:rPr>
        <w:t>31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условия для дальнейшего расширения продуктовой линейки и повышения качества клиентского сервиса на финансовых платформах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предусмотрено предложение договоров долгосрочных сбережений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использование механизма делегированной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доступного для всех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присоединившихся к правилам финансовой платформы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0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80" w:hanging="6"/>
        <w:spacing w:after="0" w:line="289" w:lineRule="auto"/>
        <w:tabs>
          <w:tab w:leader="none" w:pos="346" w:val="left"/>
        </w:tabs>
        <w:numPr>
          <w:ilvl w:val="0"/>
          <w:numId w:val="344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Определены правовые основы для использования цифровых прав в качестве встречного предоставления при осуществлении внешнеторговой деятельности</w:t>
      </w:r>
      <w:r>
        <w:rPr>
          <w:rFonts w:ascii="Arial" w:cs="Arial" w:eastAsia="Arial" w:hAnsi="Arial"/>
          <w:sz w:val="11"/>
          <w:szCs w:val="11"/>
          <w:color w:val="auto"/>
        </w:rPr>
        <w:t>32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Разработка альтернативных механизмов будет содействовать расширению возможностей осуществления международных расчетов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80" w:hanging="6"/>
        <w:spacing w:after="0" w:line="295" w:lineRule="auto"/>
        <w:tabs>
          <w:tab w:leader="none" w:pos="346" w:val="left"/>
        </w:tabs>
        <w:numPr>
          <w:ilvl w:val="0"/>
          <w:numId w:val="344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Предусмотрена возможность</w:t>
      </w:r>
      <w:r>
        <w:rPr>
          <w:rFonts w:ascii="Arial" w:cs="Arial" w:eastAsia="Arial" w:hAnsi="Arial"/>
          <w:sz w:val="11"/>
          <w:szCs w:val="11"/>
          <w:color w:val="auto"/>
        </w:rPr>
        <w:t>33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использования цифровых валют при трансграничных расчетах по внешнеторговым договорам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Воспользоваться ею российские экспортеры и импортеры смогут в рамках экспериментального правового режима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отношении которого будет предусмотрен особый порядок расчетов с использованием цифровых валют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ограничены круг участников и срок действия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498475</wp:posOffset>
                </wp:positionV>
                <wp:extent cx="1259840" cy="0"/>
                <wp:wrapNone/>
                <wp:docPr id="92" name="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2" o:spid="_x0000_s111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39.25pt" to="99.2pt,39.2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2" w:lineRule="exact"/>
        <w:rPr>
          <w:sz w:val="20"/>
          <w:szCs w:val="20"/>
          <w:color w:val="auto"/>
        </w:rPr>
      </w:pPr>
    </w:p>
    <w:p>
      <w:pPr>
        <w:ind w:left="166" w:right="320" w:hanging="166"/>
        <w:spacing w:after="0" w:line="190" w:lineRule="exact"/>
        <w:tabs>
          <w:tab w:leader="none" w:pos="172" w:val="left"/>
        </w:tabs>
        <w:numPr>
          <w:ilvl w:val="0"/>
          <w:numId w:val="34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22.07.2024 № 202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Федеральный закон «О банках и банковской деятельности».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280" w:hanging="166"/>
        <w:spacing w:after="0" w:line="190" w:lineRule="exact"/>
        <w:tabs>
          <w:tab w:leader="none" w:pos="163" w:val="left"/>
        </w:tabs>
        <w:numPr>
          <w:ilvl w:val="0"/>
          <w:numId w:val="34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22.06.2024 № 151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отдельные законодательные акты Российской Федерации».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20" w:hanging="166"/>
        <w:spacing w:after="0" w:line="190" w:lineRule="exact"/>
        <w:tabs>
          <w:tab w:leader="none" w:pos="175" w:val="left"/>
        </w:tabs>
        <w:numPr>
          <w:ilvl w:val="0"/>
          <w:numId w:val="34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04.08.2023 № 482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статьи 29 и 36 Федерального закона «О банках и банковской деятельности».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380" w:hanging="166"/>
        <w:spacing w:after="0" w:line="190" w:lineRule="exact"/>
        <w:tabs>
          <w:tab w:leader="none" w:pos="148" w:val="left"/>
        </w:tabs>
        <w:numPr>
          <w:ilvl w:val="0"/>
          <w:numId w:val="34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11.03.2024 № 45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отдельные законодательные акты Российской Федерации».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34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См. там же.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180" w:hanging="166"/>
        <w:spacing w:after="0" w:line="190" w:lineRule="exact"/>
        <w:tabs>
          <w:tab w:leader="none" w:pos="168" w:val="left"/>
        </w:tabs>
        <w:numPr>
          <w:ilvl w:val="0"/>
          <w:numId w:val="34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08.08.2024 № 223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отдельные законодательные акты Российской Федерации».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</w:sectPr>
      </w:pPr>
    </w:p>
    <w:bookmarkStart w:id="88" w:name="page89"/>
    <w:bookmarkEnd w:id="88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ind w:left="3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46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Созданы законодательные условия</w:t>
      </w:r>
      <w:r>
        <w:rPr>
          <w:rFonts w:ascii="Arial" w:cs="Arial" w:eastAsia="Arial" w:hAnsi="Arial"/>
          <w:sz w:val="11"/>
          <w:szCs w:val="11"/>
          <w:color w:val="auto"/>
        </w:rPr>
        <w:t>34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обращения иностранных цифровых прав в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640"/>
        <w:spacing w:after="0" w:line="287" w:lineRule="auto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а российских цифровых прав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рубежом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в том числе позволит расширить механизмы использования цифровых прав в расчетах в ходе внешнеторговой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9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46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Установлены</w:t>
      </w:r>
      <w:r>
        <w:rPr>
          <w:rFonts w:ascii="Arial" w:cs="Arial" w:eastAsia="Arial" w:hAnsi="Arial"/>
          <w:sz w:val="11"/>
          <w:szCs w:val="11"/>
          <w:color w:val="auto"/>
        </w:rPr>
        <w:t>35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основания для обезличивания персональных данных участниками рынка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созданы механизмы предоставления наборов данных для обучения моделей 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44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47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 доступ к витрине платформы ЗСК на официальном сайте Банка России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6" w:lineRule="auto"/>
        <w:tabs>
          <w:tab w:leader="none" w:pos="186" w:val="left"/>
        </w:tabs>
        <w:numPr>
          <w:ilvl w:val="0"/>
          <w:numId w:val="34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создан правовой механизм</w:t>
      </w:r>
      <w:r>
        <w:rPr>
          <w:rFonts w:ascii="Arial" w:cs="Arial" w:eastAsia="Arial" w:hAnsi="Arial"/>
          <w:sz w:val="11"/>
          <w:szCs w:val="11"/>
          <w:color w:val="auto"/>
        </w:rPr>
        <w:t>36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предоставляющий юридическим лицам и индивидуальным предпринимателям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отнесенным к группе высокого уровня риска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право обратиться в Банк России с заявлением о пересмотре уровня риска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Направление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4.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Развитие системы внешнеторговых платежей и расчетов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jc w:val="both"/>
        <w:ind w:left="6" w:right="840" w:hanging="6"/>
        <w:spacing w:after="0" w:line="295" w:lineRule="auto"/>
        <w:tabs>
          <w:tab w:leader="none" w:pos="346" w:val="left"/>
        </w:tabs>
        <w:numPr>
          <w:ilvl w:val="0"/>
          <w:numId w:val="349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Федеральный закон</w:t>
      </w:r>
      <w:r>
        <w:rPr>
          <w:rFonts w:ascii="Arial" w:cs="Arial" w:eastAsia="Arial" w:hAnsi="Arial"/>
          <w:sz w:val="11"/>
          <w:szCs w:val="11"/>
          <w:color w:val="auto"/>
        </w:rPr>
        <w:t>37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регулирующий открытие филиалов иностранных банков на территории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будет способствовать созданию условий</w:t>
      </w:r>
    </w:p>
    <w:p>
      <w:pPr>
        <w:ind w:left="6" w:right="180"/>
        <w:spacing w:after="0" w:line="295" w:lineRule="auto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развития системы международных расчетов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привлечению иностранных инвестиций для финансирования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Такие филиалы смогут открывать и вести банковские счета юридических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осуществлять переводы по их поручению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обеспечивать кассовое обслуживание и иные услуги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Направление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5.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Обеспечение финансовой стабильности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jc w:val="both"/>
        <w:ind w:left="6" w:right="240" w:hanging="6"/>
        <w:spacing w:after="0" w:line="289" w:lineRule="auto"/>
        <w:tabs>
          <w:tab w:leader="none" w:pos="346" w:val="left"/>
        </w:tabs>
        <w:numPr>
          <w:ilvl w:val="0"/>
          <w:numId w:val="350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Расширен</w:t>
      </w:r>
      <w:r>
        <w:rPr>
          <w:rFonts w:ascii="Arial" w:cs="Arial" w:eastAsia="Arial" w:hAnsi="Arial"/>
          <w:sz w:val="11"/>
          <w:szCs w:val="11"/>
          <w:color w:val="auto"/>
        </w:rPr>
        <w:t>38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охват мониторинга валютных активов и обязательств крупнейших нефинансовых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позволит получать и анализировать информацию на консолидированной основе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в разрезе валют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позволит улучшить качество оценки валютных рисков и своевременно разрабатывать необходимые меры регулирования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50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усовершенствован модельный подход к оценке дохода заемщика</w:t>
      </w:r>
      <w:r>
        <w:rPr>
          <w:rFonts w:ascii="Arial" w:cs="Arial" w:eastAsia="Arial" w:hAnsi="Arial"/>
          <w:sz w:val="11"/>
          <w:szCs w:val="11"/>
          <w:color w:val="auto"/>
        </w:rPr>
        <w:t>39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880" w:hanging="6"/>
        <w:spacing w:after="0" w:line="284" w:lineRule="auto"/>
        <w:tabs>
          <w:tab w:leader="none" w:pos="174" w:val="left"/>
        </w:tabs>
        <w:numPr>
          <w:ilvl w:val="0"/>
          <w:numId w:val="35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уточнены требования к построению моделей и предусмотрена возможность использования подхода для необеспеченных кредитов на сумму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60"/>
        <w:spacing w:after="0" w:line="31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Банк России наделен полномочиями по установлению макропруденциальных лимитов по ипотеке и автокредитам</w:t>
      </w:r>
      <w:r>
        <w:rPr>
          <w:rFonts w:ascii="Arial" w:cs="Arial" w:eastAsia="Arial" w:hAnsi="Arial"/>
          <w:sz w:val="11"/>
          <w:szCs w:val="11"/>
          <w:color w:val="000000"/>
        </w:rPr>
        <w:t>40</w:t>
      </w:r>
      <w:r>
        <w:rPr>
          <w:rFonts w:ascii="Arial" w:cs="Arial" w:eastAsia="Arial" w:hAnsi="Arial"/>
          <w:sz w:val="20"/>
          <w:szCs w:val="20"/>
          <w:color w:val="000000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1266825</wp:posOffset>
                </wp:positionV>
                <wp:extent cx="1259840" cy="0"/>
                <wp:wrapNone/>
                <wp:docPr id="93" name="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3" o:spid="_x0000_s111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99.75pt" to="99.2pt,99.7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3" w:lineRule="exact"/>
        <w:rPr>
          <w:sz w:val="20"/>
          <w:szCs w:val="20"/>
          <w:color w:val="auto"/>
        </w:rPr>
      </w:pPr>
    </w:p>
    <w:p>
      <w:pPr>
        <w:ind w:left="166" w:right="200" w:hanging="166"/>
        <w:spacing w:after="0" w:line="190" w:lineRule="exact"/>
        <w:tabs>
          <w:tab w:leader="none" w:pos="166" w:val="left"/>
        </w:tabs>
        <w:numPr>
          <w:ilvl w:val="0"/>
          <w:numId w:val="35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08.08.2024 № 221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отдельные законодательные акты Российской Федерации».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 w:line="184" w:lineRule="exact"/>
        <w:tabs>
          <w:tab w:leader="none" w:pos="166" w:val="left"/>
        </w:tabs>
        <w:numPr>
          <w:ilvl w:val="0"/>
          <w:numId w:val="35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08.08.2024 № 233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Федеральный закон «О персональных данных»</w:t>
      </w:r>
    </w:p>
    <w:p>
      <w:pPr>
        <w:spacing w:after="0" w:line="8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240" w:hanging="7"/>
        <w:spacing w:after="0" w:line="251" w:lineRule="auto"/>
        <w:tabs>
          <w:tab w:leader="none" w:pos="311" w:val="left"/>
        </w:tabs>
        <w:numPr>
          <w:ilvl w:val="1"/>
          <w:numId w:val="352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«О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– городе федерального значения Москве и внесении изменений в статьи 6 и 10 Федерального закона «О персональных данных».</w:t>
      </w:r>
    </w:p>
    <w:p>
      <w:pPr>
        <w:spacing w:after="0" w:line="89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166" w:right="600" w:hanging="166"/>
        <w:spacing w:after="0" w:line="190" w:lineRule="exact"/>
        <w:tabs>
          <w:tab w:leader="none" w:pos="166" w:val="left"/>
        </w:tabs>
        <w:numPr>
          <w:ilvl w:val="0"/>
          <w:numId w:val="35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22.07.2024 № 210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Федеральный закон «О противодействии легализации (отмыванию) доходов, полученных преступным путем, и финансированию терроризма».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46" w:right="300" w:hanging="146"/>
        <w:spacing w:after="0" w:line="190" w:lineRule="exact"/>
        <w:tabs>
          <w:tab w:leader="none" w:pos="146" w:val="left"/>
        </w:tabs>
        <w:numPr>
          <w:ilvl w:val="0"/>
          <w:numId w:val="35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08.08.2024 № 275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ФЗ «О внесении изменений в Федеральный закон «О банках и банковской деятельности» и отдельные законодательные акты Российской Федерации».</w:t>
      </w:r>
    </w:p>
    <w:p>
      <w:pPr>
        <w:spacing w:after="0" w:line="96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 w:line="184" w:lineRule="exact"/>
        <w:tabs>
          <w:tab w:leader="none" w:pos="166" w:val="left"/>
        </w:tabs>
        <w:numPr>
          <w:ilvl w:val="0"/>
          <w:numId w:val="35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Указания Банка России от 05.02.2024 № 6677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 и № 6678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 w:line="184" w:lineRule="exact"/>
        <w:tabs>
          <w:tab w:leader="none" w:pos="166" w:val="left"/>
        </w:tabs>
        <w:numPr>
          <w:ilvl w:val="0"/>
          <w:numId w:val="35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Указание Банка России от 15.07.2024 № 6806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У.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right="960" w:hanging="166"/>
        <w:spacing w:after="0" w:line="254" w:lineRule="auto"/>
        <w:tabs>
          <w:tab w:leader="none" w:pos="166" w:val="left"/>
        </w:tabs>
        <w:numPr>
          <w:ilvl w:val="0"/>
          <w:numId w:val="35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Федеральный закон от 23.11.2024 № 414-ФЗ «О внесении изменения в статью 45.6 Федерального закона «О Центральном банке Российской Федерации (Банке России)».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19" w:gutter="0" w:footer="0" w:header="0"/>
        </w:sectPr>
      </w:pPr>
    </w:p>
    <w:bookmarkStart w:id="89" w:name="page90"/>
    <w:bookmarkEnd w:id="8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86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34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94" name="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4" o:spid="_x0000_s111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Динамика индикаторов</w:t>
      </w: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Отношение активов финансовых организаций к ВВП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2" w:lineRule="auto"/>
        <w:tabs>
          <w:tab w:leader="none" w:pos="346" w:val="left"/>
        </w:tabs>
        <w:numPr>
          <w:ilvl w:val="0"/>
          <w:numId w:val="353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итогам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по сравнению с аналогичным периодом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отношение активов финансовых организаций к ВВП увеличилось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128,3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131,5%.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состоянию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октября </w:t>
      </w:r>
      <w:r>
        <w:rPr>
          <w:rFonts w:ascii="Arial" w:cs="Arial" w:eastAsia="Arial" w:hAnsi="Arial"/>
          <w:sz w:val="20"/>
          <w:szCs w:val="20"/>
          <w:color w:val="auto"/>
        </w:rPr>
        <w:t>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активы кредитных организаций выросли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17,5%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год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главным образом за счет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увеличения кредитования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поддержанного оживлением деловой активности и достаточно высоким потребительским спросом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Активы некредитных финансовых организаций по итогам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III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квартала также увеличились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16,7%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сравнению с аналогичным периодом прошлого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Рост был обусловлен в основном положительной переоценкой акций в портфелях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притоком средств клиентов на фоне роста доходов населения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Наибольший приток средств был зафиксирован в закрытых ПИФ для квалифицированных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росла популярность биржевых ПИФ денежного рынка и программы долгосрочных сбережений НПФ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Высокие темпы роста также показали продукты некредитного страхования жизни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накопительное и инвестиционное страхование жизни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Сдерживающее влияние на активы финансового сектора оказывали высокие процентные ставки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привели к отрицательной переоценке облигаций в портфелях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8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Отношение капитализации фондового рынка к ВВП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89" w:lineRule="auto"/>
        <w:tabs>
          <w:tab w:leader="none" w:pos="346" w:val="left"/>
        </w:tabs>
        <w:numPr>
          <w:ilvl w:val="0"/>
          <w:numId w:val="354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итогам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месяцев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капитализация фондового рынка составила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учетом значительных темпов роста экономики отношение капитализации рынка акций к ВВП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декабря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составило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25,4%.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показатель пока еще находится ниже уровня начала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как в абсолютном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относительном значении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она составляла </w:t>
      </w:r>
      <w:r>
        <w:rPr>
          <w:rFonts w:ascii="Arial" w:cs="Arial" w:eastAsia="Arial" w:hAnsi="Arial"/>
          <w:sz w:val="20"/>
          <w:szCs w:val="20"/>
          <w:color w:val="auto"/>
        </w:rPr>
        <w:t>62,6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46,1%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54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Происходит возобновление интереса к публичным размещениям акций со стороны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как эмитентов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инвесторов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начала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состоялось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размещений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больше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чем за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(12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размещений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36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Доля долгосрочных сбережений граждан в общем объеме их сбережений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55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Продолжался рост вложений граждан в долгосрочные инструменты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292" w:lineRule="auto"/>
        <w:tabs>
          <w:tab w:leader="none" w:pos="174" w:val="left"/>
        </w:tabs>
        <w:numPr>
          <w:ilvl w:val="0"/>
          <w:numId w:val="35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инвестиционные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страховые и пенсионные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Увеличилось число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вовлеченных в рынок капитала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данным Московской Биржи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число физических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имеющих брокерские счета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уникальными паспортными данными по итогам ноября достигло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34,7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млн человек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(19%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год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 же время в условиях повышенных процентных ставок при сохраняющейся привычности вкладов как инструмента сбережений для большинства граждан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объем средств населения</w:t>
      </w:r>
    </w:p>
    <w:p>
      <w:pPr>
        <w:ind w:left="6" w:right="440" w:hanging="6"/>
        <w:spacing w:after="0" w:line="288" w:lineRule="auto"/>
        <w:tabs>
          <w:tab w:leader="none" w:pos="174" w:val="left"/>
        </w:tabs>
        <w:numPr>
          <w:ilvl w:val="0"/>
          <w:numId w:val="35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банках растет опережающими темпами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Суммарные вложения населения в инвестиционные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страховые и пенсионные услуги выросли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19,7%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год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28,6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средства на вкладах и счетах в банках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составляющих большую часть сбережений граждан</w:t>
      </w:r>
      <w:r>
        <w:rPr>
          <w:rFonts w:ascii="Arial" w:cs="Arial" w:eastAsia="Arial" w:hAnsi="Arial"/>
          <w:sz w:val="20"/>
          <w:szCs w:val="20"/>
          <w:color w:val="auto"/>
        </w:rPr>
        <w:t>,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27,2%,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52,0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80"/>
        <w:spacing w:after="0" w:line="31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•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В результате по состоянию на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1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октября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года показатель долгосрочных сбережений граждан в общем объеме их сбережений несколько снизился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–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35,5% (</w:t>
      </w:r>
      <w:r>
        <w:rPr>
          <w:rFonts w:ascii="Arial" w:cs="Arial" w:eastAsia="Arial" w:hAnsi="Arial"/>
          <w:sz w:val="20"/>
          <w:szCs w:val="20"/>
          <w:color w:val="000000"/>
        </w:rPr>
        <w:t>годом ранее</w:t>
      </w:r>
      <w:r>
        <w:rPr>
          <w:rFonts w:ascii="Arial" w:cs="Arial" w:eastAsia="Arial" w:hAnsi="Arial"/>
          <w:sz w:val="20"/>
          <w:szCs w:val="20"/>
          <w:color w:val="000000"/>
        </w:rPr>
        <w:t xml:space="preserve"> – 36,0%).</w:t>
      </w:r>
    </w:p>
    <w:p>
      <w:pPr>
        <w:spacing w:after="0" w:line="19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Уровень цифровизации финансовых услуг для физических и юридических лиц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60" w:hanging="6"/>
        <w:spacing w:after="0" w:line="296" w:lineRule="auto"/>
        <w:tabs>
          <w:tab w:leader="none" w:pos="346" w:val="left"/>
        </w:tabs>
        <w:numPr>
          <w:ilvl w:val="0"/>
          <w:numId w:val="357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За период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</w:t>
      </w:r>
      <w:r>
        <w:rPr>
          <w:rFonts w:ascii="Arial" w:cs="Arial" w:eastAsia="Arial" w:hAnsi="Arial"/>
          <w:sz w:val="11"/>
          <w:szCs w:val="11"/>
          <w:color w:val="auto"/>
        </w:rPr>
        <w:t>41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наблюдался общий рост показателя уровня цифровизации финансовых услуг по исследуемым сегментам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показатель уровня цифровизации финансовых услуг для физических лиц вырос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78,7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83,4%,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юридических лиц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72,1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80,2%.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157480</wp:posOffset>
                </wp:positionV>
                <wp:extent cx="1259840" cy="0"/>
                <wp:wrapNone/>
                <wp:docPr id="95" name="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5" o:spid="_x0000_s112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2.4pt" to="99.2pt,12.4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06"/>
          </w:cols>
          <w:pgMar w:left="1134" w:top="660" w:right="1166" w:bottom="532" w:gutter="0" w:footer="0" w:header="0"/>
        </w:sectPr>
      </w:pPr>
    </w:p>
    <w:p>
      <w:pPr>
        <w:spacing w:after="0" w:line="385" w:lineRule="exact"/>
        <w:rPr>
          <w:sz w:val="20"/>
          <w:szCs w:val="20"/>
          <w:color w:val="auto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358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Показатель рассчитывается на годовой основе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наиболее актуальные данные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–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за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2023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год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ectPr>
          <w:pgSz w:w="11900" w:h="16838" w:orient="portrait"/>
          <w:cols w:equalWidth="0" w:num="1">
            <w:col w:w="9606"/>
          </w:cols>
          <w:pgMar w:left="1134" w:top="660" w:right="1166" w:bottom="532" w:gutter="0" w:footer="0" w:header="0"/>
          <w:type w:val="continuous"/>
        </w:sectPr>
      </w:pPr>
    </w:p>
    <w:bookmarkStart w:id="90" w:name="page91"/>
    <w:bookmarkEnd w:id="90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ind w:left="3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440" w:hanging="6"/>
        <w:spacing w:after="0" w:line="288" w:lineRule="auto"/>
        <w:tabs>
          <w:tab w:leader="none" w:pos="346" w:val="left"/>
        </w:tabs>
        <w:numPr>
          <w:ilvl w:val="0"/>
          <w:numId w:val="359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В банковском секторе отмечается повышение уровня цифровизации неплатежных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Наибольшую динамику показали услуги по открытию текущего счета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вклада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физических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услуги по открытию расчетного счета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депозита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юридических лиц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Цифровизация платежных услуг остается на стабильно высоком уровне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60" w:hanging="6"/>
        <w:spacing w:after="0" w:line="295" w:lineRule="auto"/>
        <w:tabs>
          <w:tab w:leader="none" w:pos="346" w:val="left"/>
        </w:tabs>
        <w:numPr>
          <w:ilvl w:val="0"/>
          <w:numId w:val="359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Наблюдается увеличение цифровизации в небанковском секторе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наиболее значительный рост зафиксирован в части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оказываемых физическим лицам микрофинансовыми организациями и брокерами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оказываемых юридическим лицам микрофинансовыми организациями и управляющими компаниями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6" w:right="11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6391"/>
        </w:rPr>
        <w:t>Композитный индекс удовлетворенности населения работой финансовых организаций</w:t>
      </w:r>
      <w:r>
        <w:rPr>
          <w:rFonts w:ascii="Arial" w:cs="Arial" w:eastAsia="Arial" w:hAnsi="Arial"/>
          <w:sz w:val="20"/>
          <w:szCs w:val="20"/>
          <w:color w:val="006391"/>
        </w:rPr>
        <w:t>,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финансовыми продуктами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(</w:t>
      </w:r>
      <w:r>
        <w:rPr>
          <w:rFonts w:ascii="Arial" w:cs="Arial" w:eastAsia="Arial" w:hAnsi="Arial"/>
          <w:sz w:val="20"/>
          <w:szCs w:val="20"/>
          <w:color w:val="006391"/>
        </w:rPr>
        <w:t>услугами</w:t>
      </w:r>
      <w:r>
        <w:rPr>
          <w:rFonts w:ascii="Arial" w:cs="Arial" w:eastAsia="Arial" w:hAnsi="Arial"/>
          <w:sz w:val="20"/>
          <w:szCs w:val="20"/>
          <w:color w:val="006391"/>
        </w:rPr>
        <w:t>)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и каналами предоставления финансовых услуг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400" w:hanging="6"/>
        <w:spacing w:after="0" w:line="289" w:lineRule="auto"/>
        <w:tabs>
          <w:tab w:leader="none" w:pos="346" w:val="left"/>
        </w:tabs>
        <w:numPr>
          <w:ilvl w:val="0"/>
          <w:numId w:val="360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Результаты проведенного в мае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опроса показывают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после снижения показателя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 по сравнению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2019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годом композитный индекс удовлетворенности населения работой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финансовыми продуктами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услугами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каналами предоставления финансовых услуг не только восстановился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и достиг максимального значения за весь период наблюдений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220" w:hanging="6"/>
        <w:spacing w:after="0" w:line="288" w:lineRule="auto"/>
        <w:tabs>
          <w:tab w:leader="none" w:pos="346" w:val="left"/>
        </w:tabs>
        <w:numPr>
          <w:ilvl w:val="0"/>
          <w:numId w:val="360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Удовлетворенность работой финансовых организаций возросла как среди населения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(83,1%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опрошенных положительно оценили работу хотя бы одного типа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8,1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п</w:t>
      </w:r>
      <w:r>
        <w:rPr>
          <w:rFonts w:ascii="Arial" w:cs="Arial" w:eastAsia="Arial" w:hAnsi="Arial"/>
          <w:sz w:val="20"/>
          <w:szCs w:val="20"/>
          <w:color w:val="auto"/>
        </w:rPr>
        <w:t>.,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выше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чем в мае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среди субъектов МСП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(89,9%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опрошенных МСП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году</w:t>
      </w:r>
      <w:r>
        <w:rPr>
          <w:rFonts w:ascii="Arial" w:cs="Arial" w:eastAsia="Arial" w:hAnsi="Arial"/>
          <w:sz w:val="20"/>
          <w:szCs w:val="20"/>
          <w:color w:val="auto"/>
        </w:rPr>
        <w:t>, +7,6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п</w:t>
      </w:r>
      <w:r>
        <w:rPr>
          <w:rFonts w:ascii="Arial" w:cs="Arial" w:eastAsia="Arial" w:hAnsi="Arial"/>
          <w:sz w:val="20"/>
          <w:szCs w:val="20"/>
          <w:color w:val="auto"/>
        </w:rPr>
        <w:t>.).</w:t>
      </w:r>
    </w:p>
    <w:p>
      <w:pPr>
        <w:spacing w:after="0" w:line="16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100" w:hanging="6"/>
        <w:spacing w:after="0" w:line="288" w:lineRule="auto"/>
        <w:tabs>
          <w:tab w:leader="none" w:pos="346" w:val="left"/>
        </w:tabs>
        <w:numPr>
          <w:ilvl w:val="0"/>
          <w:numId w:val="360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Повышение удовлетворенности населения дистанционными каналами обслуживания продолжает быть главным фактором удовлетворенности потребителей финансовыми продуктами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услугами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удовлетворенность населения дистанционными каналами обслуживания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выросла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среднем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п</w:t>
      </w:r>
      <w:r>
        <w:rPr>
          <w:rFonts w:ascii="Arial" w:cs="Arial" w:eastAsia="Arial" w:hAnsi="Arial"/>
          <w:sz w:val="20"/>
          <w:szCs w:val="20"/>
          <w:color w:val="auto"/>
        </w:rPr>
        <w:t>.),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стационарными точками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снизилась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60" w:hanging="6"/>
        <w:spacing w:after="0" w:line="293" w:lineRule="auto"/>
        <w:tabs>
          <w:tab w:leader="none" w:pos="346" w:val="left"/>
        </w:tabs>
        <w:numPr>
          <w:ilvl w:val="0"/>
          <w:numId w:val="360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Удовлетворенность является комплексным показателем субъективной оценки потребителей многих параметров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финансовыми продуктами и услугами</w:t>
      </w:r>
      <w:r>
        <w:rPr>
          <w:rFonts w:ascii="Arial" w:cs="Arial" w:eastAsia="Arial" w:hAnsi="Arial"/>
          <w:sz w:val="20"/>
          <w:szCs w:val="20"/>
          <w:color w:val="auto"/>
        </w:rPr>
        <w:t>,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уровня физической и ассортиментной доступности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ценовых факторов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понятности и качества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иных параметров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Таким образом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вся совокупность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реализуемых в целях развития финансового рынка и обеспечения его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указанный трехлетний период положительно повлияла на удовлетворенность потребителей работой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финансовыми продуктами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услугами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каналами предоставления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379730</wp:posOffset>
                </wp:positionV>
                <wp:extent cx="6119495" cy="0"/>
                <wp:wrapNone/>
                <wp:docPr id="96" name="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6" o:spid="_x0000_s112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9.9pt" to="481.85pt,29.9pt" o:allowincell="f" strokecolor="#006391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918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ДИНАМИКА КОМПОЗИТНОГО ИНДЕКСА УДОВЛЕТВОРЕННОСТИ НАСЕЛЕНИЯ РАБОТОЙ ФИНАНСОВЫХ ОРГАНИЗАЦИЙ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5"/>
          <w:szCs w:val="15"/>
          <w:i w:val="1"/>
          <w:iCs w:val="1"/>
          <w:color w:val="auto"/>
        </w:rPr>
        <w:t>Рис</w:t>
      </w:r>
      <w:r>
        <w:rPr>
          <w:rFonts w:ascii="Arial" w:cs="Arial" w:eastAsia="Arial" w:hAnsi="Arial"/>
          <w:sz w:val="15"/>
          <w:szCs w:val="15"/>
          <w:i w:val="1"/>
          <w:iCs w:val="1"/>
          <w:color w:val="auto"/>
        </w:rPr>
        <w:t>. 1</w:t>
      </w:r>
    </w:p>
    <w:p>
      <w:pPr>
        <w:spacing w:after="0" w:line="5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(%)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247650</wp:posOffset>
            </wp:positionH>
            <wp:positionV relativeFrom="paragraph">
              <wp:posOffset>257810</wp:posOffset>
            </wp:positionV>
            <wp:extent cx="5587365" cy="1796415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65" cy="179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486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ind w:left="2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2024</w:t>
      </w: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ind w:left="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2021</w:t>
      </w:r>
    </w:p>
    <w:p>
      <w:pPr>
        <w:spacing w:after="0" w:line="348" w:lineRule="exact"/>
        <w:rPr>
          <w:sz w:val="20"/>
          <w:szCs w:val="20"/>
          <w:color w:val="auto"/>
        </w:rPr>
      </w:pPr>
    </w:p>
    <w:p>
      <w:pPr>
        <w:ind w:left="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2019</w:t>
      </w:r>
    </w:p>
    <w:p>
      <w:pPr>
        <w:spacing w:after="0" w:line="349" w:lineRule="exact"/>
        <w:rPr>
          <w:sz w:val="20"/>
          <w:szCs w:val="20"/>
          <w:color w:val="auto"/>
        </w:rPr>
      </w:pPr>
    </w:p>
    <w:p>
      <w:pPr>
        <w:ind w:left="6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2018</w:t>
      </w:r>
    </w:p>
    <w:p>
      <w:pPr>
        <w:spacing w:after="0" w:line="348" w:lineRule="exact"/>
        <w:rPr>
          <w:sz w:val="20"/>
          <w:szCs w:val="20"/>
          <w:color w:val="auto"/>
        </w:rPr>
      </w:pPr>
    </w:p>
    <w:p>
      <w:pPr>
        <w:jc w:val="right"/>
        <w:ind w:right="58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2017</w:t>
      </w:r>
    </w:p>
    <w:p>
      <w:pPr>
        <w:spacing w:after="0" w:line="326" w:lineRule="exact"/>
        <w:rPr>
          <w:sz w:val="20"/>
          <w:szCs w:val="20"/>
          <w:color w:val="auto"/>
        </w:rPr>
      </w:pPr>
    </w:p>
    <w:p>
      <w:pPr>
        <w:ind w:left="4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2016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"/>
          <w:szCs w:val="10"/>
          <w:color w:val="auto"/>
        </w:rPr>
        <w:t>44,1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jc w:val="right"/>
        <w:ind w:right="6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56,6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49,7</w:t>
      </w: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jc w:val="center"/>
        <w:ind w:righ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52,9</w:t>
      </w: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51,1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6" w:lineRule="exact"/>
        <w:rPr>
          <w:sz w:val="20"/>
          <w:szCs w:val="20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50,1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3">
            <w:col w:w="6186" w:space="720"/>
            <w:col w:w="200" w:space="620"/>
            <w:col w:w="1920"/>
          </w:cols>
          <w:pgMar w:left="1134" w:top="660" w:right="1126" w:bottom="486" w:gutter="0" w:footer="0" w:header="0"/>
          <w:type w:val="continuous"/>
        </w:sectPr>
      </w:pPr>
    </w:p>
    <w:p>
      <w:pPr>
        <w:spacing w:after="0" w:line="30" w:lineRule="exact"/>
        <w:rPr>
          <w:sz w:val="20"/>
          <w:szCs w:val="20"/>
          <w:color w:val="auto"/>
        </w:rPr>
      </w:pPr>
    </w:p>
    <w:p>
      <w:pPr>
        <w:ind w:left="386"/>
        <w:spacing w:after="0"/>
        <w:tabs>
          <w:tab w:leader="none" w:pos="1806" w:val="left"/>
          <w:tab w:leader="none" w:pos="3266" w:val="left"/>
          <w:tab w:leader="none" w:pos="4726" w:val="left"/>
          <w:tab w:leader="none" w:pos="6186" w:val="left"/>
          <w:tab w:leader="none" w:pos="7646" w:val="left"/>
          <w:tab w:leader="none" w:pos="908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color w:val="auto"/>
        </w:rPr>
        <w:t>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4"/>
          <w:szCs w:val="14"/>
          <w:color w:val="auto"/>
        </w:rPr>
        <w:t>10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4"/>
          <w:szCs w:val="14"/>
          <w:color w:val="auto"/>
        </w:rPr>
        <w:t>20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4"/>
          <w:szCs w:val="14"/>
          <w:color w:val="auto"/>
        </w:rPr>
        <w:t>30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4"/>
          <w:szCs w:val="14"/>
          <w:color w:val="auto"/>
        </w:rPr>
        <w:t>40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4"/>
          <w:szCs w:val="14"/>
          <w:color w:val="auto"/>
        </w:rPr>
        <w:t>50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4"/>
          <w:szCs w:val="14"/>
          <w:color w:val="auto"/>
        </w:rPr>
        <w:t>60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486" w:gutter="0" w:footer="0" w:header="0"/>
          <w:type w:val="continuous"/>
        </w:sectPr>
      </w:pP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 w:right="22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>Источник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>: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опросы взрослого населения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>,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проведенные по заказу Банка России в рамках замера индикаторов финансовой доступности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>;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расчетный показатель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(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>от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0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до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100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 xml:space="preserve"> баллов</w:t>
      </w:r>
      <w:r>
        <w:rPr>
          <w:rFonts w:ascii="Arial" w:cs="Arial" w:eastAsia="Arial" w:hAnsi="Arial"/>
          <w:sz w:val="14"/>
          <w:szCs w:val="14"/>
          <w:i w:val="1"/>
          <w:iCs w:val="1"/>
          <w:color w:val="auto"/>
        </w:rPr>
        <w:t>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486" w:gutter="0" w:footer="0" w:header="0"/>
          <w:type w:val="continuous"/>
        </w:sectPr>
      </w:pPr>
    </w:p>
    <w:bookmarkStart w:id="91" w:name="page92"/>
    <w:bookmarkEnd w:id="9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4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88</w:t>
            </w: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34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98" name="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8" o:spid="_x0000_s11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309" w:lineRule="auto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006391"/>
        </w:rPr>
        <w:t>Оценка устойчивости финансового сектора</w:t>
      </w:r>
      <w:r>
        <w:rPr>
          <w:rFonts w:ascii="Arial" w:cs="Arial" w:eastAsia="Arial" w:hAnsi="Arial"/>
          <w:sz w:val="20"/>
          <w:szCs w:val="20"/>
          <w:color w:val="006391"/>
        </w:rPr>
        <w:t>,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представленная в регулярном </w:t>
      </w:r>
      <w:hyperlink r:id="rId54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Обзоре финансовой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54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стабильности</w:t>
        </w:r>
        <w:r>
          <w:rPr>
            <w:rFonts w:ascii="Arial" w:cs="Arial" w:eastAsia="Arial" w:hAnsi="Arial"/>
            <w:sz w:val="20"/>
            <w:szCs w:val="20"/>
            <w:color w:val="006391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6391"/>
        </w:rPr>
        <w:t>Банка России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Финансовый сектор сохраняет свою устойчивость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части как банковских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небанковских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Основные показатели финансовой устойчивости оставались на высоком уровне или демонстрировали рост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Банковский сектор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Благодаря росту основных доходов годовая рентабельность активов банковского сектора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60" w:hanging="6"/>
        <w:spacing w:after="0" w:line="292" w:lineRule="auto"/>
        <w:tabs>
          <w:tab w:leader="none" w:pos="174" w:val="left"/>
        </w:tabs>
        <w:numPr>
          <w:ilvl w:val="0"/>
          <w:numId w:val="36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отчетный период оставалась высокой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около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1,9%</w:t>
      </w:r>
      <w:r>
        <w:rPr>
          <w:rFonts w:ascii="Arial" w:cs="Arial" w:eastAsia="Arial" w:hAnsi="Arial"/>
          <w:sz w:val="11"/>
          <w:szCs w:val="11"/>
          <w:color w:val="auto"/>
        </w:rPr>
        <w:t>42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состоянию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достаточность капитала банков</w:t>
      </w:r>
      <w:r>
        <w:rPr>
          <w:rFonts w:ascii="Arial" w:cs="Arial" w:eastAsia="Arial" w:hAnsi="Arial"/>
          <w:sz w:val="11"/>
          <w:szCs w:val="11"/>
          <w:color w:val="auto"/>
        </w:rPr>
        <w:t>43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снизилась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13,2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12,1%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период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апреля 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было обусловлено опережающим ростом кредитования</w:t>
      </w:r>
    </w:p>
    <w:p>
      <w:pPr>
        <w:ind w:left="6" w:right="80" w:hanging="6"/>
        <w:spacing w:after="0" w:line="292" w:lineRule="auto"/>
        <w:tabs>
          <w:tab w:leader="none" w:pos="174" w:val="left"/>
        </w:tabs>
        <w:numPr>
          <w:ilvl w:val="0"/>
          <w:numId w:val="36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сравнении с ростом капитала с учетом выплаты дивидендов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Буфер капитала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сформированный за счет макропруденциальных надбавок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увеличился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48%,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1,1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трлн рублей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августе Банк России объявил о решении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июля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впервые установить антициклическую надбавку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АЦН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нормативам достаточности капитала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294" w:lineRule="auto"/>
        <w:tabs>
          <w:tab w:leader="none" w:pos="174" w:val="left"/>
        </w:tabs>
        <w:numPr>
          <w:ilvl w:val="0"/>
          <w:numId w:val="36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размере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0,25%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 активов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взвешенных по риску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ноябре на фоне ускоренного роста корпоративного кредитования это решение было скорректировано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АЦН составит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0,25%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уже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февраля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0,5%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июля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Формирование банками буфера капитала будет способствовать повышению устойчивости банковского сектора и более сбалансированному росту кредитования экономики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Некредитные финансовые организации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Показатели некредитных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страховщиков и НПФ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оставались устойчивыми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как страховщики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НПФ меняли структуру своих портфелей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ограничить потери от переоценки активов и снижения доходности и таким образом сократить уменьшение чистой прибыли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Страховщики увеличили долю краткосрочных депозитов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НПФ уменьшили долю подлежащего переоценке торгового портфеля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Аналогичная тенденция наблюдалась в отношении портфелей лизинговых компаний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в целях ограничения подверженности процентному риску повысили долю лизинговых договоров с плавающими платежами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2988945</wp:posOffset>
                </wp:positionV>
                <wp:extent cx="1259840" cy="0"/>
                <wp:wrapNone/>
                <wp:docPr id="99" name="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9" o:spid="_x0000_s112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35.35pt" to="99.2pt,235.3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36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С учетом корректировки на дивиденды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полученные от дочерних банков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–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резидентов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pacing w:after="0" w:line="99" w:lineRule="exact"/>
        <w:rPr>
          <w:rFonts w:ascii="Arial" w:cs="Arial" w:eastAsia="Arial" w:hAnsi="Arial"/>
          <w:sz w:val="9"/>
          <w:szCs w:val="9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362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целом по всем банкам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кроме Банка непрофильных активов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(</w:t>
      </w:r>
      <w:r>
        <w:rPr>
          <w:rFonts w:ascii="Arial" w:cs="Arial" w:eastAsia="Arial" w:hAnsi="Arial"/>
          <w:sz w:val="16"/>
          <w:szCs w:val="16"/>
          <w:color w:val="auto"/>
        </w:rPr>
        <w:t>БНА</w:t>
      </w:r>
      <w:r>
        <w:rPr>
          <w:rFonts w:ascii="Arial" w:cs="Arial" w:eastAsia="Arial" w:hAnsi="Arial"/>
          <w:sz w:val="16"/>
          <w:szCs w:val="16"/>
          <w:color w:val="auto"/>
        </w:rPr>
        <w:t>).</w:t>
      </w:r>
    </w:p>
    <w:p>
      <w:pPr>
        <w:sectPr>
          <w:pgSz w:w="11900" w:h="16838" w:orient="portrait"/>
          <w:cols w:equalWidth="0" w:num="1">
            <w:col w:w="9566"/>
          </w:cols>
          <w:pgMar w:left="1134" w:top="660" w:right="1206" w:bottom="532" w:gutter="0" w:footer="0" w:header="0"/>
        </w:sectPr>
      </w:pPr>
    </w:p>
    <w:bookmarkStart w:id="92" w:name="page93"/>
    <w:bookmarkEnd w:id="92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89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ind w:left="3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4000" w:type="dxa"/>
            <w:vAlign w:val="bottom"/>
          </w:tcPr>
          <w:p>
            <w:pPr>
              <w:jc w:val="right"/>
              <w:ind w:righ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25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Приложение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3.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Документы по вопросам развития финансового рынка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6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63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55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Стратегия развития финансового рынка Российской Федерации до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2030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(2023</w:t>
        </w:r>
        <w:r>
          <w:rPr>
            <w:rFonts w:ascii="Arial" w:cs="Arial" w:eastAsia="Arial" w:hAnsi="Arial"/>
            <w:sz w:val="11"/>
            <w:szCs w:val="11"/>
            <w:u w:val="single" w:color="auto"/>
            <w:color w:val="006391"/>
          </w:rPr>
          <w:t>44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)</w:t>
        </w:r>
      </w:hyperlink>
    </w:p>
    <w:p>
      <w:pPr>
        <w:spacing w:after="0" w:line="50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780" w:hanging="6"/>
        <w:spacing w:after="0" w:line="292" w:lineRule="auto"/>
        <w:tabs>
          <w:tab w:leader="none" w:pos="346" w:val="left"/>
        </w:tabs>
        <w:numPr>
          <w:ilvl w:val="0"/>
          <w:numId w:val="363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5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Стратегия повышения финансовой грамотности и формирования финансовой культуры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5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2030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(2023)</w:t>
        </w:r>
      </w:hyperlink>
    </w:p>
    <w:p>
      <w:pPr>
        <w:ind w:left="6" w:right="640" w:hanging="6"/>
        <w:spacing w:after="0" w:line="292" w:lineRule="auto"/>
        <w:tabs>
          <w:tab w:leader="none" w:pos="346" w:val="left"/>
        </w:tabs>
        <w:numPr>
          <w:ilvl w:val="0"/>
          <w:numId w:val="363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3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Основные направления развития информационной безопасности кредитно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-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финансовой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3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сферы на период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2023 – 2025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годов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(2023)</w:t>
        </w:r>
      </w:hyperlink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63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3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Основные направления развития финансовых технологий на период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2025 – 2027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годов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(2024)</w:t>
        </w:r>
      </w:hyperlink>
    </w:p>
    <w:p>
      <w:pPr>
        <w:spacing w:after="0" w:line="50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180" w:hanging="6"/>
        <w:spacing w:after="0" w:line="292" w:lineRule="auto"/>
        <w:tabs>
          <w:tab w:leader="none" w:pos="346" w:val="left"/>
        </w:tabs>
        <w:numPr>
          <w:ilvl w:val="0"/>
          <w:numId w:val="363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3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Основные направления повышения доступности финансовых услуг в Российской Федерации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3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на период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2025 – 2027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годов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проект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, 2024)</w:t>
        </w:r>
      </w:hyperlink>
    </w:p>
    <w:p>
      <w:pPr>
        <w:ind w:left="6" w:right="80" w:hanging="6"/>
        <w:spacing w:after="0" w:line="292" w:lineRule="auto"/>
        <w:tabs>
          <w:tab w:leader="none" w:pos="346" w:val="left"/>
        </w:tabs>
        <w:numPr>
          <w:ilvl w:val="0"/>
          <w:numId w:val="363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2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Перспективные направления развития банковского регулирования и надзора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: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текущий статус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2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и новые задачи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(2024)</w:t>
        </w:r>
      </w:hyperlink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63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3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Перспективные направления развития рынка микрофинансовых организаций</w:t>
        </w:r>
      </w:hyperlink>
    </w:p>
    <w:p>
      <w:pPr>
        <w:spacing w:after="0" w:line="50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3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на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2025 – 2027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годы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(2024)</w:t>
        </w:r>
      </w:hyperlink>
    </w:p>
    <w:p>
      <w:pPr>
        <w:spacing w:after="0" w:line="50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420" w:hanging="6"/>
        <w:spacing w:after="0" w:line="292" w:lineRule="auto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5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Дорожная карта Банка России по развитию финансирования субъектов малого и среднего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5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предпринимательства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(2023)</w:t>
        </w:r>
      </w:hyperlink>
    </w:p>
    <w:p>
      <w:pPr>
        <w:ind w:left="6" w:right="880" w:hanging="6"/>
        <w:spacing w:after="0" w:line="292" w:lineRule="auto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5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План мероприятий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(«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дорожная карта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»)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по повышению доступности услуг финансовых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5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организаций для людей с инвалидностью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,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маломобильных групп населения и пожилого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5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населения на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2022 – 2024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годы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(2023)</w:t>
        </w:r>
      </w:hyperlink>
    </w:p>
    <w:p>
      <w:pPr>
        <w:ind w:left="6" w:right="700" w:hanging="6"/>
        <w:spacing w:after="0" w:line="292" w:lineRule="auto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59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План мероприятий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«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дорожная карта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»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по реализации Стратегии повышения финансовой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59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грамотности и формирования финансовой культуры до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2030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(2023)</w:t>
        </w:r>
      </w:hyperlink>
    </w:p>
    <w:p>
      <w:pPr>
        <w:ind w:left="6" w:right="1900" w:hanging="6"/>
        <w:spacing w:after="0" w:line="292" w:lineRule="auto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1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Программа развития статистической деятельности Банка России в области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1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макроэкономической статистики на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2021 – 2025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годы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(2020)</w:t>
        </w:r>
      </w:hyperlink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6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Концепция развития аудиторской деятельности до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2024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(2020)</w:t>
        </w:r>
      </w:hyperlink>
    </w:p>
    <w:p>
      <w:pPr>
        <w:spacing w:after="0" w:line="50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520" w:hanging="6"/>
        <w:spacing w:after="0" w:line="292" w:lineRule="auto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6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Климатические риски в меняющихся экономических условиях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доклад для общественных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6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консультаций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, 2022)</w:t>
        </w:r>
      </w:hyperlink>
    </w:p>
    <w:p>
      <w:pPr>
        <w:ind w:left="6" w:right="1140" w:hanging="6"/>
        <w:spacing w:after="0" w:line="292" w:lineRule="auto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6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Управление рисками аутсорсинга на финансовом рынке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доклад для общественных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6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консультаций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, 2022)</w:t>
        </w:r>
      </w:hyperlink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63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Децентрализованные финансы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аналитический доклад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, 2022)</w:t>
        </w:r>
      </w:hyperlink>
    </w:p>
    <w:p>
      <w:pPr>
        <w:spacing w:after="0" w:line="50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640" w:hanging="6"/>
        <w:spacing w:after="0" w:line="292" w:lineRule="auto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64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Развитие рынка цифровых активов в Российской Федерации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доклад для общественных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64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консультаций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, 2022)</w:t>
        </w:r>
      </w:hyperlink>
    </w:p>
    <w:p>
      <w:pPr>
        <w:ind w:left="6" w:right="480" w:hanging="6"/>
        <w:spacing w:after="0" w:line="292" w:lineRule="auto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65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Финансовый рынок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: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новые задачи в современных условиях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документ для общественного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65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обсуждения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, 2022)</w:t>
        </w:r>
      </w:hyperlink>
    </w:p>
    <w:p>
      <w:pPr>
        <w:ind w:left="6" w:right="460" w:hanging="6"/>
        <w:spacing w:after="0" w:line="292" w:lineRule="auto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6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Применение искусственного интеллекта на финансовом рынке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доклад для общественных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6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консультаций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, 2023)</w:t>
        </w:r>
      </w:hyperlink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6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Аналитический доклад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«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Токенизированные безналичные деньги на счетах в банках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» (2023)</w:t>
        </w:r>
      </w:hyperlink>
    </w:p>
    <w:p>
      <w:pPr>
        <w:spacing w:after="0" w:line="50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680" w:hanging="6"/>
        <w:spacing w:after="0" w:line="292" w:lineRule="auto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6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Аналитический доклад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«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Цифровизация платежей и внедрение инноваций на платежном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6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рынке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» (2024)</w:t>
        </w:r>
      </w:hyperlink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69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Аналитический доклад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«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Стейблкойны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: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опыт использования и регулирования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» (2024)</w:t>
        </w:r>
      </w:hyperlink>
    </w:p>
    <w:p>
      <w:pPr>
        <w:spacing w:after="0" w:line="50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6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7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Аналитический доклад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«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Опыт стран БРИКС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+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в области развития финансовой грамотности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»</w:t>
        </w:r>
      </w:hyperlink>
    </w:p>
    <w:p>
      <w:pPr>
        <w:spacing w:after="0" w:line="50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7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(2024)</w:t>
        </w:r>
      </w:hyperlink>
    </w:p>
    <w:p>
      <w:pPr>
        <w:spacing w:after="0" w:line="20" w:lineRule="exact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1060450</wp:posOffset>
                </wp:positionV>
                <wp:extent cx="1259840" cy="0"/>
                <wp:wrapNone/>
                <wp:docPr id="100" name="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0" o:spid="_x0000_s112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3.5pt" to="99.2pt,83.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</w:sectPr>
      </w:pP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66" w:right="940" w:hanging="166"/>
        <w:spacing w:after="0" w:line="190" w:lineRule="exact"/>
        <w:tabs>
          <w:tab w:leader="none" w:pos="176" w:val="left"/>
        </w:tabs>
        <w:numPr>
          <w:ilvl w:val="0"/>
          <w:numId w:val="365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Утверждена распоряжением Правительства Российской Федерации от 29.12.2022 № 4355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р (с изменениями, внесенными распоряжением Правительства Российской Федерации от 21.12.2023 № 3753</w:t>
      </w:r>
      <w:r>
        <w:rPr>
          <w:rFonts w:ascii="MS PGothic" w:cs="MS PGothic" w:eastAsia="MS PGothic" w:hAnsi="MS PGothic"/>
          <w:sz w:val="16"/>
          <w:szCs w:val="16"/>
          <w:color w:val="auto"/>
        </w:rPr>
        <w:t>‑</w:t>
      </w:r>
      <w:r>
        <w:rPr>
          <w:rFonts w:ascii="Arial" w:cs="Arial" w:eastAsia="Arial" w:hAnsi="Arial"/>
          <w:sz w:val="16"/>
          <w:szCs w:val="16"/>
          <w:color w:val="auto"/>
        </w:rPr>
        <w:t>р).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29" w:gutter="0" w:footer="0" w:header="0"/>
          <w:type w:val="continuous"/>
        </w:sectPr>
      </w:pPr>
    </w:p>
    <w:bookmarkStart w:id="93" w:name="page94"/>
    <w:bookmarkEnd w:id="9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4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90</w:t>
            </w: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00" w:type="dxa"/>
            <w:vAlign w:val="bottom"/>
          </w:tcPr>
          <w:p>
            <w:pPr>
              <w:ind w:lef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34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101" name="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1" o:spid="_x0000_s11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7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66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7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Доклад об антикризисных мерах Банка России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(2024)</w:t>
        </w:r>
      </w:hyperlink>
    </w:p>
    <w:p>
      <w:pPr>
        <w:spacing w:after="0" w:line="50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1046" w:hanging="6"/>
        <w:spacing w:after="0" w:line="292" w:lineRule="auto"/>
        <w:tabs>
          <w:tab w:leader="none" w:pos="346" w:val="left"/>
        </w:tabs>
        <w:numPr>
          <w:ilvl w:val="0"/>
          <w:numId w:val="366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7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Доклад для общественных консультаций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«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Универсализация или специализация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?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7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Роли участников на фондовом рынке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» (2024)</w:t>
        </w:r>
      </w:hyperlink>
    </w:p>
    <w:p>
      <w:pPr>
        <w:ind w:left="6" w:right="106" w:hanging="6"/>
        <w:spacing w:after="0" w:line="292" w:lineRule="auto"/>
        <w:tabs>
          <w:tab w:leader="none" w:pos="346" w:val="left"/>
        </w:tabs>
        <w:numPr>
          <w:ilvl w:val="0"/>
          <w:numId w:val="366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73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Аналитический доклад о ходе реализации Стратегии повышения финансовой грамотности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73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в Российской Федерации на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2017 – 2023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годы за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2023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год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(2024)</w:t>
        </w:r>
      </w:hyperlink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66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hyperlink r:id="rId1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Основные принципы и этапы внедрения Открытых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API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на финансовом рынке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 xml:space="preserve"> (2024)</w:t>
        </w:r>
      </w:hyperlink>
    </w:p>
    <w:p>
      <w:pPr>
        <w:sectPr>
          <w:pgSz w:w="11900" w:h="16838" w:orient="portrait"/>
          <w:cols w:equalWidth="0" w:num="1">
            <w:col w:w="9332"/>
          </w:cols>
          <w:pgMar w:left="1134" w:top="660" w:right="1440" w:bottom="1440" w:gutter="0" w:footer="0" w:header="0"/>
        </w:sectPr>
      </w:pPr>
    </w:p>
    <w:bookmarkStart w:id="94" w:name="page95"/>
    <w:bookmarkEnd w:id="94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2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ind w:left="3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4040" w:type="dxa"/>
            <w:vAlign w:val="bottom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Глоссарий</w:t>
      </w:r>
    </w:p>
    <w:p>
      <w:pPr>
        <w:spacing w:after="0" w:line="39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ЕДИНАЯ БИОМЕТРИЧЕСКАЯ СИСТЕМА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Единая информационная система персональных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обеспечивающая обработку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включая сбор и хранение биометрических персональных данных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проверку и передачу информации</w:t>
      </w:r>
    </w:p>
    <w:p>
      <w:pPr>
        <w:ind w:left="6" w:right="1280" w:hanging="6"/>
        <w:spacing w:after="0" w:line="301" w:lineRule="auto"/>
        <w:tabs>
          <w:tab w:leader="none" w:pos="189" w:val="left"/>
        </w:tabs>
        <w:numPr>
          <w:ilvl w:val="0"/>
          <w:numId w:val="36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степени их соответствия предоставленным биометрическим персональным данным физического лица в целях идентификации и аутентификации физического лица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КЛИМАТИЧЕСКИЕ РИСКИ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 влиянием климатических изменений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предотвращение негативного воздействия человека на климат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принимаемых правительствами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580" w:hanging="6"/>
        <w:spacing w:after="0" w:line="292" w:lineRule="auto"/>
        <w:tabs>
          <w:tab w:leader="none" w:pos="186" w:val="left"/>
        </w:tabs>
        <w:numPr>
          <w:ilvl w:val="0"/>
          <w:numId w:val="36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органами регулирования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подписавших Парижское соглашение по климату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оказать негативное влияние на деятельность общества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Включают физические</w:t>
      </w: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36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переходные климатические риски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КОРПОРАТИВНОЕ УПРАВЛЕНИЕ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Понятие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охватывающее систему взаимоотношений между исполнительными органами акционерного общества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его советом директоров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акционерами и другими заинтересованными сторонами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Корпоративное управление является инструментом для определения целей общества и средств достижения этих целей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обеспечения эффективного контроля за деятельностью общества со стороны акционеров и других заинтересованных сторон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7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КРАУДФАНДИНГ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Вид альтернативного инвестирования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котором инвесторы предоставляют небольшие суммы финансирования проектам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находящимся на начальных этапах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посредством инвестиционных платформ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МАКРОПРУДЕНЦИАЛЬНАЯ ПОЛИТИКА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Экономическая политика центрального банка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ряде стран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макропруденциального регулятора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направленная на обеспечение финансовой стабильности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МИССЕЛИНГ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(MISSELLING)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Подмена продукта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Предложение и продажа одного финансового продукта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услуги под видом другого финансового продукта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услуги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ОТКРЫТАЯ ПЛАТФОРМА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МАРКЕТПЛЕЙС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7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Торговая онлайн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площадка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допуск участников на которую осуществляется в соответствии с публичными критериями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устанавливаемыми платформой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ОТКРЫТЫЕ ДАННЫЕ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(OPEN DATA)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Модель взаимодействия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которой поставщики услуг с согласия клиента с использованием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получают данные о клиенте от финансовых и иных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8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из сферы телекоммуникаций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электронной коммерции и других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из государственных информационных 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которых хранятся и обрабатываются клиентские данные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ОТКРЫТЫЕ ФИНАНСЫ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(OPEN FINANCE)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Модель взаимодействия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рамках которой поставщики услуг с согласия клиента с использованием Открытых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получают как банковские и платежные данные о клиенте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данные об иных финансовых услугах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страховых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инвестиционных и других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тем самым повышая качество клиентского обслуживания и увеличивая ассортимент продуктов и сервисов для граждан и бизнеса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260" w:gutter="0" w:footer="0" w:header="0"/>
        </w:sectPr>
      </w:pPr>
    </w:p>
    <w:bookmarkStart w:id="95" w:name="page96"/>
    <w:bookmarkEnd w:id="9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92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34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102" name="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2" o:spid="_x0000_s11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ОТКРЫТЫЕ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6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Общедоступные интерфейсы прикладного программирования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(API),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предоставляют разработчикам программный доступ к данным организаций об их продуктах и клиентах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ПАРИЖСКОЕ СОГЛАШЕНИЕ ПО КЛИМАТУ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Международное соглашение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принятое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декабря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2015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основной целью которого является удержание прироста глобальной средней температуры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предполагает экономическую и социальную трансформацию стран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участников соглашения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ПАССИВНАЯ ИНВЕСТИЦИОННАЯ СТРАТЕГИЯ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Стратегия инвестирования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которой портфель ценных бумаг и иных объектов инвестирования формируется на основании индекса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ПЕРЕХОДНЫЕ КЛИМАТИЧЕСКИЕ РИСКИ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 переходом к низкоуглеродной экономике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мерами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принимаемыми правительствами и органами регулирования стран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подписавших Парижское соглашение по климату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направленными на предотвращение климатических изменений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Переходные климатические риски разделяются на политические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правовые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технологические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рыночные и репутационные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7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ПЛАТФОРМА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ЦИФРОВАЯ ПЛАТФОРМА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Информационная система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работающая через сеть Интернет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обеспечивает взаимодействие участников платформы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позволяя им создавать продукты и обмениваться ими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услугами и информацией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ПОВЕДЕНЧЕСКИЙ НАДЗОР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9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Деятельность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направленная на предупреждение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выявление и пресечение нарушений прав потребителей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Периметр поведенческого надзора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сфера контроля соблюдения норм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регулируют взаимоотношения финансовой организации со своими клиентами или устанавливают требования</w:t>
      </w:r>
    </w:p>
    <w:p>
      <w:pPr>
        <w:ind w:left="6" w:hanging="6"/>
        <w:spacing w:after="0" w:line="294" w:lineRule="auto"/>
        <w:tabs>
          <w:tab w:leader="none" w:pos="171" w:val="left"/>
        </w:tabs>
        <w:numPr>
          <w:ilvl w:val="0"/>
          <w:numId w:val="36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параметрам финансовых продуктов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формируется с учетом ключевых вопросов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поднимаемых потребителями финансовых услуг в поступающих в Банк России обращениях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постоянно расширяется по мере появления новых проблем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влекут возникновение рисков нарушения прав потребителей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учетом передового зарубежного опыта в данной сфере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Цели поведенческого надзора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70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обеспечение соблюдения прав и законных интересов потребителей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70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повышение доступности и качества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 w:right="740" w:hanging="6"/>
        <w:spacing w:after="0" w:line="284" w:lineRule="auto"/>
        <w:tabs>
          <w:tab w:leader="none" w:pos="346" w:val="left"/>
        </w:tabs>
        <w:numPr>
          <w:ilvl w:val="0"/>
          <w:numId w:val="370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повышение доверия потребителей финансовых услуг к участникам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финансовым продуктам и услугам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предоставляемым ими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5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70"/>
        </w:numPr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минимизация рисков нарушения прав потребителей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эффективное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006391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управление рисками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с помощью усиления превентивного компонента надзора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ПОКАЗАТЕЛЬ ДОЛГОВОЙ НАГРУЗКИ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Отношение суммы среднемесячных платежей по всем кредитам и займам заемщика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том числе по кредиту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займу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заявление о предоставлении которого рассматривается кредитором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ind w:left="6" w:right="60" w:hanging="6"/>
        <w:spacing w:after="0" w:line="301" w:lineRule="auto"/>
        <w:tabs>
          <w:tab w:leader="none" w:pos="171" w:val="left"/>
        </w:tabs>
        <w:numPr>
          <w:ilvl w:val="0"/>
          <w:numId w:val="37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величине его среднемесячного дохода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рассчитываемое в соответствии с нормативными актами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53" w:gutter="0" w:footer="0" w:header="0"/>
        </w:sectPr>
      </w:pPr>
    </w:p>
    <w:bookmarkStart w:id="96" w:name="page97"/>
    <w:bookmarkEnd w:id="96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ind w:left="3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СИСТЕМА БЫСТРЫХ ПЛАТЕЖЕЙ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Сервис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позволяющий в 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24/7/365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совершать мгновенные переводы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301" w:lineRule="auto"/>
        <w:tabs>
          <w:tab w:leader="none" w:pos="177" w:val="left"/>
        </w:tabs>
        <w:numPr>
          <w:ilvl w:val="0"/>
          <w:numId w:val="37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использованием простых и удобных идентификаторов получателя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номера телефона при переводе физическому лицу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СОЦИАЛЬНАЯ ИНЖЕНЕРИЯ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Введение в заблуждение путем обмана или злоупотребления доверием для получения несанкционированного доступа к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электронным средствам платежа или побуждения владельцев самостоятельно совершить перевод денежных средств с целью их хищения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ТЕСТИРОВАНИЕ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Исследование изменений свойств системы или объекта в нестандартных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стрессовых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условиях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приложении к финансовой организации или институту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испытание на прочность ее финансового положения в условиях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серьезного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вместе с тем вероятного шока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УМНЫЙ КОНТРАКТ</w:t>
      </w:r>
      <w:r>
        <w:rPr>
          <w:rFonts w:ascii="Arial" w:cs="Arial" w:eastAsia="Arial" w:hAnsi="Arial"/>
          <w:sz w:val="20"/>
          <w:szCs w:val="20"/>
          <w:color w:val="auto"/>
        </w:rPr>
        <w:t>» (</w:t>
      </w:r>
      <w:r>
        <w:rPr>
          <w:rFonts w:ascii="Arial" w:cs="Arial" w:eastAsia="Arial" w:hAnsi="Arial"/>
          <w:sz w:val="20"/>
          <w:szCs w:val="20"/>
          <w:color w:val="auto"/>
        </w:rPr>
        <w:t>СМАРТ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КОНТРАКТ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9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Цифровой контракт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предусматривающий автоматизацию исполнения сделок и платежей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контроля и учета юридически значимых действий и событий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УСИЛЕННАЯ НЕКВАЛИФИЦИРОВАННАЯ ЭЛЕКТРОННАЯ ПОДПИСЬ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Подпись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сертификат ключа проверки которой создан и применяется в инфраструктуре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обеспечивающей информационно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технологическое взаимодействие информационных систем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используемых для предоставления государственных и муниципальных услуг в электронной форме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установленном Правительством Российской Федерации порядке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УСТОЙЧИВОЕ РАЗВИТИЕ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Развитие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отвечающее потребностям настоящего времени без ущерба для способности будущих поколений удовлетворять собственные потребности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Концептуальная трехмерная модель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обеспечивает одновременное развитие мировой системы по трем ключевым направлениям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экономическому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социальному и экологическому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УТВЕРЖДЕННЫЙ КАПИТАЛ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Часть уставного капитала института развития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формируется за счет субсидий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из федерального бюджета и последующего внесения дополнительных имущественных взносов Российской Федерации при достижении институтом развития триггерных значений обязательных нормативов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показателей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финансовой устойчивости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УТИЛИТАРНЫЕ ЦИФРОВЫЕ ПРАВА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Приобретаемые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отчуждаемые и осуществляемые на инвестиционной платформе цифровые права требовать передачи вещей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исключительных прав на результаты интеллектуальной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 использования результатов интеллектуальной деятельности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выполнения работ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оказания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ФИДУЦИАРНАЯ ОТВЕТСТВЕННОСТЬ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Ответственность за неисполнение или ненадлежащее исполнение обязанности финансовой организации действовать в интересах клиента разумно и добросовестно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принимая необходимые</w:t>
      </w:r>
    </w:p>
    <w:p>
      <w:pPr>
        <w:ind w:left="6" w:right="740" w:hanging="6"/>
        <w:spacing w:after="0" w:line="301" w:lineRule="auto"/>
        <w:tabs>
          <w:tab w:leader="none" w:pos="186" w:val="left"/>
        </w:tabs>
        <w:numPr>
          <w:ilvl w:val="0"/>
          <w:numId w:val="37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достаточные меры для исполнения обязанностей перед клиентом наилучшим доступным образом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673" w:gutter="0" w:footer="0" w:header="0"/>
        </w:sectPr>
      </w:pPr>
    </w:p>
    <w:bookmarkStart w:id="97" w:name="page98"/>
    <w:bookmarkEnd w:id="9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94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34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103" name="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3" o:spid="_x0000_s11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ФИЗИЧЕСКИЕ КЛИМАТИЧЕСКИЕ РИСКИ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31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Риски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связанные с природными явлениями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возникающими вследствие изменения климата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Физические климатические риски делятся на экстренные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(</w:t>
      </w:r>
      <w:r>
        <w:rPr>
          <w:rFonts w:ascii="Arial" w:cs="Arial" w:eastAsia="Arial" w:hAnsi="Arial"/>
          <w:sz w:val="19"/>
          <w:szCs w:val="19"/>
          <w:color w:val="auto"/>
        </w:rPr>
        <w:t>связаны с внезапными событиями</w:t>
      </w:r>
      <w:r>
        <w:rPr>
          <w:rFonts w:ascii="Arial" w:cs="Arial" w:eastAsia="Arial" w:hAnsi="Arial"/>
          <w:sz w:val="19"/>
          <w:szCs w:val="19"/>
          <w:color w:val="auto"/>
        </w:rPr>
        <w:t>)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и систематические </w:t>
      </w:r>
      <w:r>
        <w:rPr>
          <w:rFonts w:ascii="Arial" w:cs="Arial" w:eastAsia="Arial" w:hAnsi="Arial"/>
          <w:sz w:val="19"/>
          <w:szCs w:val="19"/>
          <w:color w:val="auto"/>
        </w:rPr>
        <w:t>(</w:t>
      </w:r>
      <w:r>
        <w:rPr>
          <w:rFonts w:ascii="Arial" w:cs="Arial" w:eastAsia="Arial" w:hAnsi="Arial"/>
          <w:sz w:val="19"/>
          <w:szCs w:val="19"/>
          <w:color w:val="auto"/>
        </w:rPr>
        <w:t>формируются вследствие долгосрочных изменений климатических характеристик и условий</w:t>
      </w:r>
      <w:r>
        <w:rPr>
          <w:rFonts w:ascii="Arial" w:cs="Arial" w:eastAsia="Arial" w:hAnsi="Arial"/>
          <w:sz w:val="19"/>
          <w:szCs w:val="19"/>
          <w:color w:val="auto"/>
        </w:rPr>
        <w:t>).</w: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ФИНАНСОВАЯ ПЛАТФОРМА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Информационная система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обеспечивает взаимодействие финансовых организаций или эмитентов с потребителями финансовых услуг посредством сети Интернет в целях обеспечения возможности совершения финансовых сделок и доступ к которой предоставляется оператором финансовой платформы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ФИНАНСОВЫЙ РЫНОК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Система экономических и правовых отношений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связанных с использованием денег в качестве средства накопления и платежа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обращением финансовых инструментов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культурно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деловая среда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которой действуют участники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ЦЕЛИ УСТОЙЧИВОГО РАЗВИТИЯ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Перечень целей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установленных в документе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Повестка дня в области устойчивого развития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2030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»,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принятом резолюцией Генеральной Ассамблеи Организации Объединенных Наций </w:t>
      </w:r>
      <w:r>
        <w:rPr>
          <w:rFonts w:ascii="Arial" w:cs="Arial" w:eastAsia="Arial" w:hAnsi="Arial"/>
          <w:sz w:val="20"/>
          <w:szCs w:val="20"/>
          <w:color w:val="auto"/>
        </w:rPr>
        <w:t>25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сентября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2015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ЦИФРОВОЙ ПРОФИЛЬ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Государственная инфраструктура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созданная на базе Единой системы идентификации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jc w:val="both"/>
        <w:ind w:left="6" w:right="860" w:hanging="6"/>
        <w:spacing w:after="0" w:line="296" w:lineRule="auto"/>
        <w:tabs>
          <w:tab w:leader="none" w:pos="186" w:val="left"/>
        </w:tabs>
        <w:numPr>
          <w:ilvl w:val="0"/>
          <w:numId w:val="37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аутентификации и предназначенная для получения физическим лицом сведений о себе из государственных информационных систем и предоставления такой информации с его согласия организациям с целью получения финансовых услуг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ЦИФРОВОЙ РУБЛЬ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Цифровая форма российской национальной валюты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которую Банк России планирует выпускать в дополнение к существующим формам денег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ЦИФРОВЫЕ ФИНАНСОВЫЕ АКТИВЫ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Цифровые права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включающие денежные требования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возможность осуществления прав по эмиссионным ценным бумагам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права участия в капитале непубличного акционерного общества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права требования передачи эмиссионных ценных бумаг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предусмотрены решением о выпуске цифровых финансовых активов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выпуск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учет и обращение которых возможны только путем внесения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изменения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записей в информационную систему на основе распределенного реестра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 иные информационные системы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ЭКОСИСТЕМА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ЦИФРОВАЯ ЭКОСИСТЕМА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Совокупность сервисов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 числе платформенных 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одной группы компаний или компании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20" w:hanging="6"/>
        <w:spacing w:after="0" w:line="292" w:lineRule="auto"/>
        <w:tabs>
          <w:tab w:leader="none" w:pos="179" w:val="left"/>
        </w:tabs>
        <w:numPr>
          <w:ilvl w:val="0"/>
          <w:numId w:val="37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партнеров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позволяющих пользователям получать широкий круг продуктов и услуг в рамках единого бесшовного интегрированного процесса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Экосистема может включать в себя закрытые</w:t>
      </w:r>
    </w:p>
    <w:p>
      <w:pPr>
        <w:ind w:left="6" w:right="320" w:hanging="6"/>
        <w:spacing w:after="0" w:line="318" w:lineRule="auto"/>
        <w:tabs>
          <w:tab w:leader="none" w:pos="179" w:val="left"/>
        </w:tabs>
        <w:numPr>
          <w:ilvl w:val="0"/>
          <w:numId w:val="375"/>
        </w:numPr>
        <w:rPr>
          <w:rFonts w:ascii="Arial" w:cs="Arial" w:eastAsia="Arial" w:hAnsi="Arial"/>
          <w:sz w:val="19"/>
          <w:szCs w:val="19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открытые платформы</w:t>
      </w:r>
      <w:r>
        <w:rPr>
          <w:rFonts w:ascii="Arial" w:cs="Arial" w:eastAsia="Arial" w:hAnsi="Arial"/>
          <w:sz w:val="19"/>
          <w:szCs w:val="19"/>
          <w:color w:val="auto"/>
        </w:rPr>
        <w:t>.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Предлагаемая экосистемой линейка сервисов удовлетворяет большинство ежедневных потребностей клиента или выстроена вокруг одной или нескольких его базовых потребностей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(</w:t>
      </w:r>
      <w:r>
        <w:rPr>
          <w:rFonts w:ascii="Arial" w:cs="Arial" w:eastAsia="Arial" w:hAnsi="Arial"/>
          <w:sz w:val="19"/>
          <w:szCs w:val="19"/>
          <w:color w:val="auto"/>
        </w:rPr>
        <w:t>экосистемы на начальном этапе своего формирования или нишевые экосистемы</w:t>
      </w:r>
      <w:r>
        <w:rPr>
          <w:rFonts w:ascii="Arial" w:cs="Arial" w:eastAsia="Arial" w:hAnsi="Arial"/>
          <w:sz w:val="19"/>
          <w:szCs w:val="19"/>
          <w:color w:val="auto"/>
        </w:rPr>
        <w:t>).</w: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ЭКСПЕРИМЕНТАЛЬНЫЕ ПРАВОВЫЕ РЕЖИМЫ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5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Применение в отношении участников экспериментального правового режима в течение определенного периода времени специального регулирования по направлениям разработки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апробации и внедрения цифровых инноваций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660" w:right="1126" w:bottom="572" w:gutter="0" w:footer="0" w:header="0"/>
        </w:sectPr>
      </w:pPr>
    </w:p>
    <w:bookmarkStart w:id="98" w:name="page99"/>
    <w:bookmarkEnd w:id="98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ind w:left="3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Список сокращений</w:t>
      </w: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ББЛ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банки с базовой лицензией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ind w:right="3240"/>
        <w:spacing w:after="0" w:line="50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ВПОДК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внутренние процедуры оценки достаточности капитала ВЭД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внешнеэкономическая деятельность ЕАЭС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Евразийский экономический союз ЕБС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Единая биометрическая система</w:t>
      </w:r>
    </w:p>
    <w:p>
      <w:pPr>
        <w:spacing w:after="0" w:line="35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ЕСИА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Единая система идентификации и аутентификации</w:t>
      </w: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ЗСК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платформа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Знай своего клиента</w:t>
      </w:r>
      <w:r>
        <w:rPr>
          <w:rFonts w:ascii="Arial" w:cs="Arial" w:eastAsia="Arial" w:hAnsi="Arial"/>
          <w:sz w:val="20"/>
          <w:szCs w:val="20"/>
          <w:color w:val="auto"/>
        </w:rPr>
        <w:t>»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ИИС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индивидуальный инвестиционный счет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индивидуальный номер налогоплательщика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ИСЖ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инвестиционное страхование жизни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информационные технологии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КПК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кредитный потребительский кооператив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МПЛ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макропруденциальные лимиты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МСП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малое и среднее предпринимательство</w:t>
      </w: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МФО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микрофинансовая организация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НДФЛ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налог на доходы физических лиц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ННКЛ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национальный норматив краткосрочной ликвидности</w:t>
      </w: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НПО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негосударственное пенсионное обеспечение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НПФ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негосударственный пенсионный фонд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НСЖ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накопительное страхование жизни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НСПК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Национальная система платежных карт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НСТ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надзорное стресс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тестирование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НФО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некредитная финансовая организация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ОВП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открытая валютная позиция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ОИС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оператор информационной системы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ОНЕГДКП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Основные направления единой государственной денежно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кредитной политики</w:t>
      </w: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ОНРФР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Основные направления развития финансового рынка Российской Федерации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ОУИО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оператор услуг информационного обмена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ПВР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подход на основе внутренних рейтингов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ПВФУ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план восстановления финансовой устойчивости</w:t>
      </w:r>
    </w:p>
    <w:p>
      <w:pPr>
        <w:sectPr>
          <w:pgSz w:w="11900" w:h="16838" w:orient="portrait"/>
          <w:cols w:equalWidth="0" w:num="1">
            <w:col w:w="9640"/>
          </w:cols>
          <w:pgMar w:left="1140" w:top="660" w:right="1126" w:bottom="639" w:gutter="0" w:footer="0" w:header="0"/>
        </w:sectPr>
      </w:pPr>
    </w:p>
    <w:bookmarkStart w:id="99" w:name="page100"/>
    <w:bookmarkEnd w:id="99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62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620" w:type="dxa"/>
            <w:vAlign w:val="bottom"/>
            <w:vMerge w:val="restart"/>
          </w:tcPr>
          <w:p>
            <w:pPr>
              <w:jc w:val="right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96</w:t>
            </w: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62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1340" w:type="dxa"/>
            <w:vAlign w:val="bottom"/>
          </w:tcPr>
          <w:p>
            <w:pPr>
              <w:ind w:left="3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104" name="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4" o:spid="_x0000_s11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5pt" to="481.5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ПДН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показатель долговой нагрузки заемщика</w:t>
      </w: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ПДС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программа долгосрочных сбережений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ПИФ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паевой инвестиционный фонд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ПКС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Платформа коммерческих согласий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right="6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ФТ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противодействие легализации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отмыванию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доходов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полученных преступным путем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финансированию терроризма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ПУРЦБ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профессиональный участник рынка ценных бумаг</w:t>
      </w: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ПФИ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производные финансовые инструменты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РНПК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Российская национальная перестраховочная компания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СБП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Система быстрых платежей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СЗКО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системно значимая кредитная организация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СКПК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сельскохозяйственный кредитный потребительский кооператив</w:t>
      </w: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СПФС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Система передачи финансовых сообщений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СРО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саморегулируемая организация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СФР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Социальный фонд Российской Федерации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ТС и САЭ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технологический суверенитет и структурная адаптация экономики</w:t>
      </w: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ТСП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торгово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сервисные предприятия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УКЭП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усиленная квалифицированная электронная подпись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УЦП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утилитарные цифровые права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ФГИС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федеральная государственная информационная система</w:t>
      </w: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ФГОС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федеральный государственный образовательный стандарт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ФИБ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филиал иностранного банка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ФОСВ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Фонд обязательного страхования вкладов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ЦФА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цифровые финансовые активы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API – Application Programming Interface (</w:t>
      </w:r>
      <w:r>
        <w:rPr>
          <w:rFonts w:ascii="Arial" w:cs="Arial" w:eastAsia="Arial" w:hAnsi="Arial"/>
          <w:sz w:val="20"/>
          <w:szCs w:val="20"/>
          <w:color w:val="auto"/>
        </w:rPr>
        <w:t>программный интерфейс приложения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ind w:right="126"/>
        <w:spacing w:after="0" w:line="46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C2G – Consumer-to-Government (</w:t>
      </w:r>
      <w:r>
        <w:rPr>
          <w:rFonts w:ascii="Arial" w:cs="Arial" w:eastAsia="Arial" w:hAnsi="Arial"/>
          <w:sz w:val="20"/>
          <w:szCs w:val="20"/>
          <w:color w:val="auto"/>
        </w:rPr>
        <w:t>платежи физических лиц в пользу государственных органов</w:t>
      </w:r>
      <w:r>
        <w:rPr>
          <w:rFonts w:ascii="Arial" w:cs="Arial" w:eastAsia="Arial" w:hAnsi="Arial"/>
          <w:sz w:val="20"/>
          <w:szCs w:val="20"/>
          <w:color w:val="auto"/>
        </w:rPr>
        <w:t>) E-com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электронная коммерция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right="446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ESG – Environmental, Social and Governance (</w:t>
      </w:r>
      <w:r>
        <w:rPr>
          <w:rFonts w:ascii="Arial" w:cs="Arial" w:eastAsia="Arial" w:hAnsi="Arial"/>
          <w:sz w:val="20"/>
          <w:szCs w:val="20"/>
          <w:color w:val="auto"/>
        </w:rPr>
        <w:t>экологические и социальные факторы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факторы корпоративного управления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IPO – Initial Public Offering (</w:t>
      </w:r>
      <w:r>
        <w:rPr>
          <w:rFonts w:ascii="Arial" w:cs="Arial" w:eastAsia="Arial" w:hAnsi="Arial"/>
          <w:sz w:val="20"/>
          <w:szCs w:val="20"/>
          <w:color w:val="auto"/>
        </w:rPr>
        <w:t>первичное публичное размещение акций компании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ind w:right="1526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ISO – International Organization for Standardization (</w:t>
      </w:r>
      <w:r>
        <w:rPr>
          <w:rFonts w:ascii="Arial" w:cs="Arial" w:eastAsia="Arial" w:hAnsi="Arial"/>
          <w:sz w:val="20"/>
          <w:szCs w:val="20"/>
          <w:color w:val="auto"/>
        </w:rPr>
        <w:t>Международная организация по стандартизации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ectPr>
          <w:pgSz w:w="11900" w:h="16838" w:orient="portrait"/>
          <w:cols w:equalWidth="0" w:num="1">
            <w:col w:w="9326"/>
          </w:cols>
          <w:pgMar w:left="1140" w:top="660" w:right="1440" w:bottom="745" w:gutter="0" w:footer="0" w:header="0"/>
        </w:sectPr>
      </w:pPr>
    </w:p>
    <w:bookmarkStart w:id="100" w:name="page101"/>
    <w:bookmarkEnd w:id="100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84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Основные направления развития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2"/>
        </w:trPr>
        <w:tc>
          <w:tcPr>
            <w:tcW w:w="5000" w:type="dxa"/>
            <w:vAlign w:val="bottom"/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финансового рынка Российской Федерации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97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0"/>
        </w:trPr>
        <w:tc>
          <w:tcPr>
            <w:tcW w:w="5000" w:type="dxa"/>
            <w:vAlign w:val="bottom"/>
          </w:tcPr>
          <w:p>
            <w:pPr>
              <w:ind w:left="36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Приложения</w:t>
            </w:r>
          </w:p>
        </w:tc>
        <w:tc>
          <w:tcPr>
            <w:tcW w:w="4020" w:type="dxa"/>
            <w:vAlign w:val="bottom"/>
          </w:tcPr>
          <w:p>
            <w:pPr>
              <w:jc w:val="right"/>
              <w:ind w:right="1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на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2025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 и период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2026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2027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 xml:space="preserve"> годов</w:t>
            </w: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5"/>
        </w:trPr>
        <w:tc>
          <w:tcPr>
            <w:tcW w:w="5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ITU – International Telecommunication Union (</w:t>
      </w:r>
      <w:r>
        <w:rPr>
          <w:rFonts w:ascii="Arial" w:cs="Arial" w:eastAsia="Arial" w:hAnsi="Arial"/>
          <w:sz w:val="20"/>
          <w:szCs w:val="20"/>
          <w:color w:val="auto"/>
        </w:rPr>
        <w:t>Международный союз электросвязи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ind w:right="8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RegTech – Regulatory Technology (</w:t>
      </w:r>
      <w:r>
        <w:rPr>
          <w:rFonts w:ascii="Arial" w:cs="Arial" w:eastAsia="Arial" w:hAnsi="Arial"/>
          <w:sz w:val="20"/>
          <w:szCs w:val="20"/>
          <w:color w:val="auto"/>
        </w:rPr>
        <w:t>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используемые финансовыми организациями для повышения эффективности выполнения требований регулятора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right="7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SupTech – Supervisory Technology (</w:t>
      </w:r>
      <w:r>
        <w:rPr>
          <w:rFonts w:ascii="Arial" w:cs="Arial" w:eastAsia="Arial" w:hAnsi="Arial"/>
          <w:sz w:val="20"/>
          <w:szCs w:val="20"/>
          <w:color w:val="auto"/>
        </w:rPr>
        <w:t>технологии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используемые регуляторами для повышения эффективности контроля и надзора за деятельностью участников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sectPr>
      <w:pgSz w:w="11900" w:h="16838" w:orient="portrait"/>
      <w:cols w:equalWidth="0" w:num="1">
        <w:col w:w="9640"/>
      </w:cols>
      <w:pgMar w:left="1140" w:top="660" w:right="112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  <w:font w:name="MS PGothic">
    <w:panose1 w:val="020B0600070205080204"/>
    <w:charset w:val="80"/>
    <w:family w:val="swiss"/>
    <w:pitch w:val="variable"/>
    <w:sig w:usb0="E00002FF" w:usb1="6AC7FDFB" w:usb2="08000012" w:usb3="00000000" w:csb0="4002009F" w:csb1="DFD70000"/>
  </w:font>
</w:fonts>
</file>

<file path=word/numbering.xml><?xml version="1.0" encoding="utf-8"?>
<w:numbering xmlns:w="http://schemas.openxmlformats.org/wordprocessingml/2006/main">
  <w:abstractNum w:abstractNumId="0">
    <w:nsid w:val="631F1690"/>
    <w:multiLevelType w:val="hybridMultilevel"/>
    <w:lvl w:ilvl="0">
      <w:lvlJc w:val="left"/>
      <w:lvlText w:val="В"/>
      <w:numFmt w:val="bullet"/>
      <w:start w:val="1"/>
    </w:lvl>
  </w:abstractNum>
  <w:abstractNum w:abstractNumId="1">
    <w:nsid w:val="25973E32"/>
    <w:multiLevelType w:val="hybridMultilevel"/>
    <w:lvl w:ilvl="0">
      <w:lvlJc w:val="left"/>
      <w:lvlText w:val="и"/>
      <w:numFmt w:val="bullet"/>
      <w:start w:val="1"/>
    </w:lvl>
  </w:abstractNum>
  <w:abstractNum w:abstractNumId="2">
    <w:nsid w:val="EAD6F57"/>
    <w:multiLevelType w:val="hybridMultilevel"/>
    <w:lvl w:ilvl="0">
      <w:lvlJc w:val="left"/>
      <w:lvlText w:val="В"/>
      <w:numFmt w:val="bullet"/>
      <w:start w:val="1"/>
    </w:lvl>
  </w:abstractNum>
  <w:abstractNum w:abstractNumId="3">
    <w:nsid w:val="6EC9D844"/>
    <w:multiLevelType w:val="hybridMultilevel"/>
    <w:lvl w:ilvl="0">
      <w:lvlJc w:val="left"/>
      <w:lvlText w:val="в"/>
      <w:numFmt w:val="bullet"/>
      <w:start w:val="1"/>
    </w:lvl>
  </w:abstractNum>
  <w:abstractNum w:abstractNumId="4">
    <w:nsid w:val="5C49EAEE"/>
    <w:multiLevelType w:val="hybridMultilevel"/>
    <w:lvl w:ilvl="0">
      <w:lvlJc w:val="left"/>
      <w:lvlText w:val="с"/>
      <w:numFmt w:val="bullet"/>
      <w:start w:val="1"/>
    </w:lvl>
  </w:abstractNum>
  <w:abstractNum w:abstractNumId="5">
    <w:nsid w:val="64AF49B"/>
    <w:multiLevelType w:val="hybridMultilevel"/>
    <w:lvl w:ilvl="0">
      <w:lvlJc w:val="left"/>
      <w:lvlText w:val="и"/>
      <w:numFmt w:val="bullet"/>
      <w:start w:val="1"/>
    </w:lvl>
  </w:abstractNum>
  <w:abstractNum w:abstractNumId="6">
    <w:nsid w:val="397C46BC"/>
    <w:multiLevelType w:val="hybridMultilevel"/>
    <w:lvl w:ilvl="0">
      <w:lvlJc w:val="left"/>
      <w:lvlText w:val="с"/>
      <w:numFmt w:val="bullet"/>
      <w:start w:val="1"/>
    </w:lvl>
  </w:abstractNum>
  <w:abstractNum w:abstractNumId="7">
    <w:nsid w:val="7E448DE9"/>
    <w:multiLevelType w:val="hybridMultilevel"/>
    <w:lvl w:ilvl="0">
      <w:lvlJc w:val="left"/>
      <w:lvlText w:val="С"/>
      <w:numFmt w:val="bullet"/>
      <w:start w:val="1"/>
    </w:lvl>
  </w:abstractNum>
  <w:abstractNum w:abstractNumId="8">
    <w:nsid w:val="5A9CC3E5"/>
    <w:multiLevelType w:val="hybridMultilevel"/>
    <w:lvl w:ilvl="0">
      <w:lvlJc w:val="left"/>
      <w:lvlText w:val="а"/>
      <w:numFmt w:val="bullet"/>
      <w:start w:val="1"/>
    </w:lvl>
  </w:abstractNum>
  <w:abstractNum w:abstractNumId="9">
    <w:nsid w:val="1AFE3625"/>
    <w:multiLevelType w:val="hybridMultilevel"/>
    <w:lvl w:ilvl="0">
      <w:lvlJc w:val="left"/>
      <w:lvlText w:val="в"/>
      <w:numFmt w:val="bullet"/>
      <w:start w:val="1"/>
    </w:lvl>
  </w:abstractNum>
  <w:abstractNum w:abstractNumId="10">
    <w:nsid w:val="3CA88ECF"/>
    <w:multiLevelType w:val="hybridMultilevel"/>
    <w:lvl w:ilvl="0">
      <w:lvlJc w:val="left"/>
      <w:lvlText w:val="С"/>
      <w:numFmt w:val="bullet"/>
      <w:start w:val="1"/>
    </w:lvl>
  </w:abstractNum>
  <w:abstractNum w:abstractNumId="11">
    <w:nsid w:val="6EBE4208"/>
    <w:multiLevelType w:val="hybridMultilevel"/>
    <w:lvl w:ilvl="0">
      <w:lvlJc w:val="left"/>
      <w:lvlText w:val="%1"/>
      <w:numFmt w:val="decimal"/>
      <w:start w:val="1"/>
    </w:lvl>
  </w:abstractNum>
  <w:abstractNum w:abstractNumId="12">
    <w:nsid w:val="C058DF5"/>
    <w:multiLevelType w:val="hybridMultilevel"/>
    <w:lvl w:ilvl="0">
      <w:lvlJc w:val="left"/>
      <w:lvlText w:val="в"/>
      <w:numFmt w:val="bullet"/>
      <w:start w:val="1"/>
    </w:lvl>
  </w:abstractNum>
  <w:abstractNum w:abstractNumId="13">
    <w:nsid w:val="CBE5BE9"/>
    <w:multiLevelType w:val="hybridMultilevel"/>
    <w:lvl w:ilvl="0">
      <w:lvlJc w:val="left"/>
      <w:lvlText w:val="и"/>
      <w:numFmt w:val="bullet"/>
      <w:start w:val="1"/>
    </w:lvl>
  </w:abstractNum>
  <w:abstractNum w:abstractNumId="14">
    <w:nsid w:val="3102BBE2"/>
    <w:multiLevelType w:val="hybridMultilevel"/>
    <w:lvl w:ilvl="0">
      <w:lvlJc w:val="left"/>
      <w:lvlText w:val="в"/>
      <w:numFmt w:val="bullet"/>
      <w:start w:val="1"/>
    </w:lvl>
  </w:abstractNum>
  <w:abstractNum w:abstractNumId="15">
    <w:nsid w:val="26A02C5E"/>
    <w:multiLevelType w:val="hybridMultilevel"/>
    <w:lvl w:ilvl="0">
      <w:lvlJc w:val="left"/>
      <w:lvlText w:val="в"/>
      <w:numFmt w:val="bullet"/>
      <w:start w:val="1"/>
    </w:lvl>
  </w:abstractNum>
  <w:abstractNum w:abstractNumId="16">
    <w:nsid w:val="541C8153"/>
    <w:multiLevelType w:val="hybridMultilevel"/>
    <w:lvl w:ilvl="0">
      <w:lvlJc w:val="left"/>
      <w:lvlText w:val="с"/>
      <w:numFmt w:val="bullet"/>
      <w:start w:val="1"/>
    </w:lvl>
  </w:abstractNum>
  <w:abstractNum w:abstractNumId="17">
    <w:nsid w:val="67906F60"/>
    <w:multiLevelType w:val="hybridMultilevel"/>
    <w:lvl w:ilvl="0">
      <w:lvlJc w:val="left"/>
      <w:lvlText w:val="а"/>
      <w:numFmt w:val="bullet"/>
      <w:start w:val="1"/>
    </w:lvl>
  </w:abstractNum>
  <w:abstractNum w:abstractNumId="18">
    <w:nsid w:val="10DB9DAA"/>
    <w:multiLevelType w:val="hybridMultilevel"/>
    <w:lvl w:ilvl="0">
      <w:lvlJc w:val="left"/>
      <w:lvlText w:val="в"/>
      <w:numFmt w:val="bullet"/>
      <w:start w:val="1"/>
    </w:lvl>
  </w:abstractNum>
  <w:abstractNum w:abstractNumId="19">
    <w:nsid w:val="697D2D2"/>
    <w:multiLevelType w:val="hybridMultilevel"/>
    <w:lvl w:ilvl="0">
      <w:lvlJc w:val="left"/>
      <w:lvlText w:val="и"/>
      <w:numFmt w:val="bullet"/>
      <w:start w:val="1"/>
    </w:lvl>
  </w:abstractNum>
  <w:abstractNum w:abstractNumId="20">
    <w:nsid w:val="6D68AB2"/>
    <w:multiLevelType w:val="hybridMultilevel"/>
    <w:lvl w:ilvl="0">
      <w:lvlJc w:val="left"/>
      <w:lvlText w:val="и"/>
      <w:numFmt w:val="bullet"/>
      <w:start w:val="1"/>
    </w:lvl>
  </w:abstractNum>
  <w:abstractNum w:abstractNumId="21">
    <w:nsid w:val="3A966CD0"/>
    <w:multiLevelType w:val="hybridMultilevel"/>
    <w:lvl w:ilvl="0">
      <w:lvlJc w:val="left"/>
      <w:lvlText w:val="и"/>
      <w:numFmt w:val="bullet"/>
      <w:start w:val="1"/>
    </w:lvl>
  </w:abstractNum>
  <w:abstractNum w:abstractNumId="22">
    <w:nsid w:val="63F37E85"/>
    <w:multiLevelType w:val="hybridMultilevel"/>
    <w:lvl w:ilvl="0">
      <w:lvlJc w:val="left"/>
      <w:lvlText w:val="и"/>
      <w:numFmt w:val="bullet"/>
      <w:start w:val="1"/>
    </w:lvl>
  </w:abstractNum>
  <w:abstractNum w:abstractNumId="23">
    <w:nsid w:val="5895F5FA"/>
    <w:multiLevelType w:val="hybridMultilevel"/>
    <w:lvl w:ilvl="0">
      <w:lvlJc w:val="left"/>
      <w:lvlText w:val="в"/>
      <w:numFmt w:val="bullet"/>
      <w:start w:val="1"/>
    </w:lvl>
  </w:abstractNum>
  <w:abstractNum w:abstractNumId="24">
    <w:nsid w:val="38A5D054"/>
    <w:multiLevelType w:val="hybridMultilevel"/>
    <w:lvl w:ilvl="0">
      <w:lvlJc w:val="left"/>
      <w:lvlText w:val="2"/>
      <w:numFmt w:val="bullet"/>
      <w:start w:val="1"/>
    </w:lvl>
  </w:abstractNum>
  <w:abstractNum w:abstractNumId="25">
    <w:nsid w:val="F3F09D8"/>
    <w:multiLevelType w:val="hybridMultilevel"/>
    <w:lvl w:ilvl="0">
      <w:lvlJc w:val="left"/>
      <w:lvlText w:val="и"/>
      <w:numFmt w:val="bullet"/>
      <w:start w:val="1"/>
    </w:lvl>
  </w:abstractNum>
  <w:abstractNum w:abstractNumId="26">
    <w:nsid w:val="4B793735"/>
    <w:multiLevelType w:val="hybridMultilevel"/>
    <w:lvl w:ilvl="0">
      <w:lvlJc w:val="left"/>
      <w:lvlText w:val="и"/>
      <w:numFmt w:val="bullet"/>
      <w:start w:val="1"/>
    </w:lvl>
  </w:abstractNum>
  <w:abstractNum w:abstractNumId="27">
    <w:nsid w:val="4A10B4E8"/>
    <w:multiLevelType w:val="hybridMultilevel"/>
    <w:lvl w:ilvl="0">
      <w:lvlJc w:val="left"/>
      <w:lvlText w:val="в"/>
      <w:numFmt w:val="bullet"/>
      <w:start w:val="1"/>
    </w:lvl>
  </w:abstractNum>
  <w:abstractNum w:abstractNumId="28">
    <w:nsid w:val="43D3BCD4"/>
    <w:multiLevelType w:val="hybridMultilevel"/>
    <w:lvl w:ilvl="0">
      <w:lvlJc w:val="left"/>
      <w:lvlText w:val="%1."/>
      <w:numFmt w:val="decimal"/>
      <w:start w:val="1"/>
    </w:lvl>
  </w:abstractNum>
  <w:abstractNum w:abstractNumId="29">
    <w:nsid w:val="4C2A7166"/>
    <w:multiLevelType w:val="hybridMultilevel"/>
    <w:lvl w:ilvl="0">
      <w:lvlJc w:val="left"/>
      <w:lvlText w:val="в"/>
      <w:numFmt w:val="bullet"/>
      <w:start w:val="1"/>
    </w:lvl>
  </w:abstractNum>
  <w:abstractNum w:abstractNumId="30">
    <w:nsid w:val="2E534A82"/>
    <w:multiLevelType w:val="hybridMultilevel"/>
    <w:lvl w:ilvl="0">
      <w:lvlJc w:val="left"/>
      <w:lvlText w:val="и"/>
      <w:numFmt w:val="bullet"/>
      <w:start w:val="1"/>
    </w:lvl>
  </w:abstractNum>
  <w:abstractNum w:abstractNumId="31">
    <w:nsid w:val="26F2D364"/>
    <w:multiLevelType w:val="hybridMultilevel"/>
    <w:lvl w:ilvl="0">
      <w:lvlJc w:val="left"/>
      <w:lvlText w:val="%1."/>
      <w:numFmt w:val="decimal"/>
      <w:start w:val="2"/>
    </w:lvl>
  </w:abstractNum>
  <w:abstractNum w:abstractNumId="32">
    <w:nsid w:val="71C1AF98"/>
    <w:multiLevelType w:val="hybridMultilevel"/>
    <w:lvl w:ilvl="0">
      <w:lvlJc w:val="left"/>
      <w:lvlText w:val="и"/>
      <w:numFmt w:val="bullet"/>
      <w:start w:val="1"/>
    </w:lvl>
  </w:abstractNum>
  <w:abstractNum w:abstractNumId="33">
    <w:nsid w:val="3D00B9D9"/>
    <w:multiLevelType w:val="hybridMultilevel"/>
    <w:lvl w:ilvl="0">
      <w:lvlJc w:val="left"/>
      <w:lvlText w:val="и"/>
      <w:numFmt w:val="bullet"/>
      <w:start w:val="1"/>
    </w:lvl>
  </w:abstractNum>
  <w:abstractNum w:abstractNumId="34">
    <w:nsid w:val="15BCABA8"/>
    <w:multiLevelType w:val="hybridMultilevel"/>
    <w:lvl w:ilvl="0">
      <w:lvlJc w:val="left"/>
      <w:lvlText w:val="%1."/>
      <w:numFmt w:val="decimal"/>
      <w:start w:val="3"/>
    </w:lvl>
  </w:abstractNum>
  <w:abstractNum w:abstractNumId="35">
    <w:nsid w:val="4E0B9A87"/>
    <w:multiLevelType w:val="hybridMultilevel"/>
    <w:lvl w:ilvl="0">
      <w:lvlJc w:val="left"/>
      <w:lvlText w:val="в"/>
      <w:numFmt w:val="bullet"/>
      <w:start w:val="1"/>
    </w:lvl>
  </w:abstractNum>
  <w:abstractNum w:abstractNumId="36">
    <w:nsid w:val="434BAE75"/>
    <w:multiLevelType w:val="hybridMultilevel"/>
    <w:lvl w:ilvl="0">
      <w:lvlJc w:val="left"/>
      <w:lvlText w:val="и"/>
      <w:numFmt w:val="bullet"/>
      <w:start w:val="1"/>
    </w:lvl>
  </w:abstractNum>
  <w:abstractNum w:abstractNumId="37">
    <w:nsid w:val="4F38F265"/>
    <w:multiLevelType w:val="hybridMultilevel"/>
    <w:lvl w:ilvl="0">
      <w:lvlJc w:val="left"/>
      <w:lvlText w:val="%1."/>
      <w:numFmt w:val="decimal"/>
      <w:start w:val="1"/>
    </w:lvl>
  </w:abstractNum>
  <w:abstractNum w:abstractNumId="38">
    <w:nsid w:val="4C502870"/>
    <w:multiLevelType w:val="hybridMultilevel"/>
    <w:lvl w:ilvl="0">
      <w:lvlJc w:val="left"/>
      <w:lvlText w:val="%1."/>
      <w:numFmt w:val="decimal"/>
      <w:start w:val="2"/>
    </w:lvl>
  </w:abstractNum>
  <w:abstractNum w:abstractNumId="39">
    <w:nsid w:val="1DE8725A"/>
    <w:multiLevelType w:val="hybridMultilevel"/>
    <w:lvl w:ilvl="0">
      <w:lvlJc w:val="left"/>
      <w:lvlText w:val="%1."/>
      <w:numFmt w:val="decimal"/>
      <w:start w:val="3"/>
    </w:lvl>
  </w:abstractNum>
  <w:abstractNum w:abstractNumId="40">
    <w:nsid w:val="6A37288A"/>
    <w:multiLevelType w:val="hybridMultilevel"/>
    <w:lvl w:ilvl="0">
      <w:lvlJc w:val="left"/>
      <w:lvlText w:val="в"/>
      <w:numFmt w:val="bullet"/>
      <w:start w:val="1"/>
    </w:lvl>
  </w:abstractNum>
  <w:abstractNum w:abstractNumId="41">
    <w:nsid w:val="8F8B73F"/>
    <w:multiLevelType w:val="hybridMultilevel"/>
    <w:lvl w:ilvl="0">
      <w:lvlJc w:val="left"/>
      <w:lvlText w:val="%1."/>
      <w:numFmt w:val="decimal"/>
      <w:start w:val="4"/>
    </w:lvl>
  </w:abstractNum>
  <w:abstractNum w:abstractNumId="42">
    <w:nsid w:val="CA6B462"/>
    <w:multiLevelType w:val="hybridMultilevel"/>
    <w:lvl w:ilvl="0">
      <w:lvlJc w:val="left"/>
      <w:lvlText w:val="с"/>
      <w:numFmt w:val="bullet"/>
      <w:start w:val="1"/>
    </w:lvl>
  </w:abstractNum>
  <w:abstractNum w:abstractNumId="43">
    <w:nsid w:val="763CB680"/>
    <w:multiLevelType w:val="hybridMultilevel"/>
    <w:lvl w:ilvl="0">
      <w:lvlJc w:val="left"/>
      <w:lvlText w:val="%1."/>
      <w:numFmt w:val="decimal"/>
      <w:start w:val="5"/>
    </w:lvl>
  </w:abstractNum>
  <w:abstractNum w:abstractNumId="44">
    <w:nsid w:val="15B71329"/>
    <w:multiLevelType w:val="hybridMultilevel"/>
    <w:lvl w:ilvl="0">
      <w:lvlJc w:val="left"/>
      <w:lvlText w:val="с"/>
      <w:numFmt w:val="bullet"/>
      <w:start w:val="1"/>
    </w:lvl>
  </w:abstractNum>
  <w:abstractNum w:abstractNumId="45">
    <w:nsid w:val="3DA97044"/>
    <w:multiLevelType w:val="hybridMultilevel"/>
    <w:lvl w:ilvl="0">
      <w:lvlJc w:val="left"/>
      <w:lvlText w:val="3"/>
      <w:numFmt w:val="bullet"/>
      <w:start w:val="1"/>
    </w:lvl>
  </w:abstractNum>
  <w:abstractNum w:abstractNumId="46">
    <w:nsid w:val="1CDCE2DE"/>
    <w:multiLevelType w:val="hybridMultilevel"/>
    <w:lvl w:ilvl="0">
      <w:lvlJc w:val="left"/>
      <w:lvlText w:val="4"/>
      <w:numFmt w:val="bullet"/>
      <w:start w:val="1"/>
    </w:lvl>
  </w:abstractNum>
  <w:abstractNum w:abstractNumId="47">
    <w:nsid w:val="69D3947C"/>
    <w:multiLevelType w:val="hybridMultilevel"/>
    <w:lvl w:ilvl="0">
      <w:lvlJc w:val="left"/>
      <w:lvlText w:val="%1."/>
      <w:numFmt w:val="decimal"/>
      <w:start w:val="6"/>
    </w:lvl>
  </w:abstractNum>
  <w:abstractNum w:abstractNumId="48">
    <w:nsid w:val="2539DFA5"/>
    <w:multiLevelType w:val="hybridMultilevel"/>
    <w:lvl w:ilvl="0">
      <w:lvlJc w:val="left"/>
      <w:lvlText w:val="с"/>
      <w:numFmt w:val="bullet"/>
      <w:start w:val="1"/>
    </w:lvl>
  </w:abstractNum>
  <w:abstractNum w:abstractNumId="49">
    <w:nsid w:val="2DB88089"/>
    <w:multiLevelType w:val="hybridMultilevel"/>
    <w:lvl w:ilvl="0">
      <w:lvlJc w:val="left"/>
      <w:lvlText w:val="к"/>
      <w:numFmt w:val="bullet"/>
      <w:start w:val="1"/>
    </w:lvl>
  </w:abstractNum>
  <w:abstractNum w:abstractNumId="50">
    <w:nsid w:val="706B674E"/>
    <w:multiLevelType w:val="hybridMultilevel"/>
    <w:lvl w:ilvl="0">
      <w:lvlJc w:val="left"/>
      <w:lvlText w:val="%1."/>
      <w:numFmt w:val="decimal"/>
      <w:start w:val="7"/>
    </w:lvl>
  </w:abstractNum>
  <w:abstractNum w:abstractNumId="51">
    <w:nsid w:val="2C106A57"/>
    <w:multiLevelType w:val="hybridMultilevel"/>
    <w:lvl w:ilvl="0">
      <w:lvlJc w:val="left"/>
      <w:lvlText w:val="5"/>
      <w:numFmt w:val="bullet"/>
      <w:start w:val="1"/>
    </w:lvl>
  </w:abstractNum>
  <w:abstractNum w:abstractNumId="52">
    <w:nsid w:val="684EED59"/>
    <w:multiLevelType w:val="hybridMultilevel"/>
    <w:lvl w:ilvl="0">
      <w:lvlJc w:val="left"/>
      <w:lvlText w:val="6"/>
      <w:numFmt w:val="bullet"/>
      <w:start w:val="1"/>
    </w:lvl>
  </w:abstractNum>
  <w:abstractNum w:abstractNumId="53">
    <w:nsid w:val="545EE5D3"/>
    <w:multiLevelType w:val="hybridMultilevel"/>
    <w:lvl w:ilvl="0">
      <w:lvlJc w:val="left"/>
      <w:lvlText w:val="7"/>
      <w:numFmt w:val="bullet"/>
      <w:start w:val="1"/>
    </w:lvl>
  </w:abstractNum>
  <w:abstractNum w:abstractNumId="54">
    <w:nsid w:val="4A66051"/>
    <w:multiLevelType w:val="hybridMultilevel"/>
    <w:lvl w:ilvl="0">
      <w:lvlJc w:val="left"/>
      <w:lvlText w:val="8"/>
      <w:numFmt w:val="bullet"/>
      <w:start w:val="1"/>
    </w:lvl>
  </w:abstractNum>
  <w:abstractNum w:abstractNumId="55">
    <w:nsid w:val="20F4BDAD"/>
    <w:multiLevelType w:val="hybridMultilevel"/>
    <w:lvl w:ilvl="0">
      <w:lvlJc w:val="left"/>
      <w:lvlText w:val="%1."/>
      <w:numFmt w:val="decimal"/>
      <w:start w:val="8"/>
    </w:lvl>
  </w:abstractNum>
  <w:abstractNum w:abstractNumId="56">
    <w:nsid w:val="639DEFAC"/>
    <w:multiLevelType w:val="hybridMultilevel"/>
    <w:lvl w:ilvl="0">
      <w:lvlJc w:val="left"/>
      <w:lvlText w:val="с"/>
      <w:numFmt w:val="bullet"/>
      <w:start w:val="1"/>
    </w:lvl>
  </w:abstractNum>
  <w:abstractNum w:abstractNumId="57">
    <w:nsid w:val="501F9786"/>
    <w:multiLevelType w:val="hybridMultilevel"/>
    <w:lvl w:ilvl="0">
      <w:lvlJc w:val="left"/>
      <w:lvlText w:val="9"/>
      <w:numFmt w:val="bullet"/>
      <w:start w:val="1"/>
    </w:lvl>
  </w:abstractNum>
  <w:abstractNum w:abstractNumId="58">
    <w:nsid w:val="6B057295"/>
    <w:multiLevelType w:val="hybridMultilevel"/>
    <w:lvl w:ilvl="0">
      <w:lvlJc w:val="left"/>
      <w:lvlText w:val="и"/>
      <w:numFmt w:val="bullet"/>
      <w:start w:val="1"/>
    </w:lvl>
  </w:abstractNum>
  <w:abstractNum w:abstractNumId="59">
    <w:nsid w:val="2771AC80"/>
    <w:multiLevelType w:val="hybridMultilevel"/>
    <w:lvl w:ilvl="0">
      <w:lvlJc w:val="left"/>
      <w:lvlText w:val="и"/>
      <w:numFmt w:val="bullet"/>
      <w:start w:val="1"/>
    </w:lvl>
  </w:abstractNum>
  <w:abstractNum w:abstractNumId="60">
    <w:nsid w:val="1C4A08EC"/>
    <w:multiLevelType w:val="hybridMultilevel"/>
    <w:lvl w:ilvl="0">
      <w:lvlJc w:val="left"/>
      <w:lvlText w:val="В"/>
      <w:numFmt w:val="bullet"/>
      <w:start w:val="1"/>
    </w:lvl>
  </w:abstractNum>
  <w:abstractNum w:abstractNumId="61">
    <w:nsid w:val="1958BD17"/>
    <w:multiLevelType w:val="hybridMultilevel"/>
    <w:lvl w:ilvl="0">
      <w:lvlJc w:val="left"/>
      <w:lvlText w:val="и"/>
      <w:numFmt w:val="bullet"/>
      <w:start w:val="1"/>
    </w:lvl>
  </w:abstractNum>
  <w:abstractNum w:abstractNumId="62">
    <w:nsid w:val="4E647FE4"/>
    <w:multiLevelType w:val="hybridMultilevel"/>
    <w:lvl w:ilvl="0">
      <w:lvlJc w:val="left"/>
      <w:lvlText w:val="и"/>
      <w:numFmt w:val="bullet"/>
      <w:start w:val="1"/>
    </w:lvl>
  </w:abstractNum>
  <w:abstractNum w:abstractNumId="63">
    <w:nsid w:val="E0BB885"/>
    <w:multiLevelType w:val="hybridMultilevel"/>
    <w:lvl w:ilvl="0">
      <w:lvlJc w:val="left"/>
      <w:lvlText w:val="В"/>
      <w:numFmt w:val="bullet"/>
      <w:start w:val="1"/>
    </w:lvl>
  </w:abstractNum>
  <w:abstractNum w:abstractNumId="64">
    <w:nsid w:val="565976F1"/>
    <w:multiLevelType w:val="hybridMultilevel"/>
    <w:lvl w:ilvl="0">
      <w:lvlJc w:val="left"/>
      <w:lvlText w:val="и"/>
      <w:numFmt w:val="bullet"/>
      <w:start w:val="1"/>
    </w:lvl>
  </w:abstractNum>
  <w:abstractNum w:abstractNumId="65">
    <w:nsid w:val="64212B8C"/>
    <w:multiLevelType w:val="hybridMultilevel"/>
    <w:lvl w:ilvl="0">
      <w:lvlJc w:val="left"/>
      <w:lvlText w:val="в"/>
      <w:numFmt w:val="bullet"/>
      <w:start w:val="1"/>
    </w:lvl>
  </w:abstractNum>
  <w:abstractNum w:abstractNumId="66">
    <w:nsid w:val="5C17530C"/>
    <w:multiLevelType w:val="hybridMultilevel"/>
    <w:lvl w:ilvl="0">
      <w:lvlJc w:val="left"/>
      <w:lvlText w:val="в"/>
      <w:numFmt w:val="bullet"/>
      <w:start w:val="1"/>
    </w:lvl>
  </w:abstractNum>
  <w:abstractNum w:abstractNumId="67">
    <w:nsid w:val="19A52566"/>
    <w:multiLevelType w:val="hybridMultilevel"/>
    <w:lvl w:ilvl="0">
      <w:lvlJc w:val="left"/>
      <w:lvlText w:val="И"/>
      <w:numFmt w:val="bullet"/>
      <w:start w:val="1"/>
    </w:lvl>
  </w:abstractNum>
  <w:abstractNum w:abstractNumId="68">
    <w:nsid w:val="335A1DF1"/>
    <w:multiLevelType w:val="hybridMultilevel"/>
    <w:lvl w:ilvl="0">
      <w:lvlJc w:val="left"/>
      <w:lvlText w:val="в"/>
      <w:numFmt w:val="bullet"/>
      <w:start w:val="1"/>
    </w:lvl>
  </w:abstractNum>
  <w:abstractNum w:abstractNumId="69">
    <w:nsid w:val="28677B7C"/>
    <w:multiLevelType w:val="hybridMultilevel"/>
    <w:lvl w:ilvl="0">
      <w:lvlJc w:val="left"/>
      <w:lvlText w:val="В"/>
      <w:numFmt w:val="bullet"/>
      <w:start w:val="1"/>
    </w:lvl>
  </w:abstractNum>
  <w:abstractNum w:abstractNumId="70">
    <w:nsid w:val="378D97C0"/>
    <w:multiLevelType w:val="hybridMultilevel"/>
    <w:lvl w:ilvl="0">
      <w:lvlJc w:val="left"/>
      <w:lvlText w:val="В"/>
      <w:numFmt w:val="bullet"/>
      <w:start w:val="1"/>
    </w:lvl>
  </w:abstractNum>
  <w:abstractNum w:abstractNumId="71">
    <w:nsid w:val="1D91467C"/>
    <w:multiLevelType w:val="hybridMultilevel"/>
    <w:lvl w:ilvl="0">
      <w:lvlJc w:val="left"/>
      <w:lvlText w:val="и"/>
      <w:numFmt w:val="bullet"/>
      <w:start w:val="1"/>
    </w:lvl>
  </w:abstractNum>
  <w:abstractNum w:abstractNumId="72">
    <w:nsid w:val="316032BB"/>
    <w:multiLevelType w:val="hybridMultilevel"/>
    <w:lvl w:ilvl="0">
      <w:lvlJc w:val="left"/>
      <w:lvlText w:val="с"/>
      <w:numFmt w:val="bullet"/>
      <w:start w:val="1"/>
    </w:lvl>
  </w:abstractNum>
  <w:abstractNum w:abstractNumId="73">
    <w:nsid w:val="44344C22"/>
    <w:multiLevelType w:val="hybridMultilevel"/>
    <w:lvl w:ilvl="0">
      <w:lvlJc w:val="left"/>
      <w:lvlText w:val="%1"/>
      <w:numFmt w:val="decimal"/>
      <w:start w:val="1"/>
    </w:lvl>
  </w:abstractNum>
  <w:abstractNum w:abstractNumId="74">
    <w:nsid w:val="13CDFCFC"/>
    <w:multiLevelType w:val="hybridMultilevel"/>
    <w:lvl w:ilvl="0">
      <w:lvlJc w:val="left"/>
      <w:lvlText w:val="2"/>
      <w:numFmt w:val="bullet"/>
      <w:start w:val="1"/>
    </w:lvl>
  </w:abstractNum>
  <w:abstractNum w:abstractNumId="75">
    <w:nsid w:val="471745E4"/>
    <w:multiLevelType w:val="hybridMultilevel"/>
    <w:lvl w:ilvl="0">
      <w:lvlJc w:val="left"/>
      <w:lvlText w:val="3"/>
      <w:numFmt w:val="bullet"/>
      <w:start w:val="1"/>
    </w:lvl>
  </w:abstractNum>
  <w:abstractNum w:abstractNumId="76">
    <w:nsid w:val="1DDBC66"/>
    <w:multiLevelType w:val="hybridMultilevel"/>
    <w:lvl w:ilvl="0">
      <w:lvlJc w:val="left"/>
      <w:lvlText w:val="и"/>
      <w:numFmt w:val="bullet"/>
      <w:start w:val="1"/>
    </w:lvl>
  </w:abstractNum>
  <w:abstractNum w:abstractNumId="77">
    <w:nsid w:val="30AADFDA"/>
    <w:multiLevelType w:val="hybridMultilevel"/>
    <w:lvl w:ilvl="0">
      <w:lvlJc w:val="left"/>
      <w:lvlText w:val="В"/>
      <w:numFmt w:val="bullet"/>
      <w:start w:val="1"/>
    </w:lvl>
  </w:abstractNum>
  <w:abstractNum w:abstractNumId="78">
    <w:nsid w:val="30EADA61"/>
    <w:multiLevelType w:val="hybridMultilevel"/>
    <w:lvl w:ilvl="0">
      <w:lvlJc w:val="left"/>
      <w:lvlText w:val="4"/>
      <w:numFmt w:val="bullet"/>
      <w:start w:val="1"/>
    </w:lvl>
  </w:abstractNum>
  <w:abstractNum w:abstractNumId="79">
    <w:nsid w:val="27179C0B"/>
    <w:multiLevelType w:val="hybridMultilevel"/>
    <w:lvl w:ilvl="0">
      <w:lvlJc w:val="left"/>
      <w:lvlText w:val="5"/>
      <w:numFmt w:val="bullet"/>
      <w:start w:val="1"/>
    </w:lvl>
  </w:abstractNum>
  <w:abstractNum w:abstractNumId="80">
    <w:nsid w:val="5E636063"/>
    <w:multiLevelType w:val="hybridMultilevel"/>
    <w:lvl w:ilvl="0">
      <w:lvlJc w:val="left"/>
      <w:lvlText w:val="и"/>
      <w:numFmt w:val="bullet"/>
      <w:start w:val="1"/>
    </w:lvl>
  </w:abstractNum>
  <w:abstractNum w:abstractNumId="81">
    <w:nsid w:val="215641AF"/>
    <w:multiLevelType w:val="hybridMultilevel"/>
    <w:lvl w:ilvl="0">
      <w:lvlJc w:val="left"/>
      <w:lvlText w:val="в"/>
      <w:numFmt w:val="bullet"/>
      <w:start w:val="1"/>
    </w:lvl>
  </w:abstractNum>
  <w:abstractNum w:abstractNumId="82">
    <w:nsid w:val="53280662"/>
    <w:multiLevelType w:val="hybridMultilevel"/>
    <w:lvl w:ilvl="0">
      <w:lvlJc w:val="left"/>
      <w:lvlText w:val="6"/>
      <w:numFmt w:val="bullet"/>
      <w:start w:val="1"/>
    </w:lvl>
  </w:abstractNum>
  <w:abstractNum w:abstractNumId="83">
    <w:nsid w:val="46B24DBC"/>
    <w:multiLevelType w:val="hybridMultilevel"/>
    <w:lvl w:ilvl="0">
      <w:lvlJc w:val="left"/>
      <w:lvlText w:val="7"/>
      <w:numFmt w:val="bullet"/>
      <w:start w:val="1"/>
    </w:lvl>
  </w:abstractNum>
  <w:abstractNum w:abstractNumId="84">
    <w:nsid w:val="75B52783"/>
    <w:multiLevelType w:val="hybridMultilevel"/>
    <w:lvl w:ilvl="0">
      <w:lvlJc w:val="left"/>
      <w:lvlText w:val="8"/>
      <w:numFmt w:val="bullet"/>
      <w:start w:val="1"/>
    </w:lvl>
  </w:abstractNum>
  <w:abstractNum w:abstractNumId="85">
    <w:nsid w:val="57CE66B4"/>
    <w:multiLevelType w:val="hybridMultilevel"/>
    <w:lvl w:ilvl="0">
      <w:lvlJc w:val="left"/>
      <w:lvlText w:val="9"/>
      <w:numFmt w:val="bullet"/>
      <w:start w:val="1"/>
    </w:lvl>
  </w:abstractNum>
  <w:abstractNum w:abstractNumId="86">
    <w:nsid w:val="67A70B69"/>
    <w:multiLevelType w:val="hybridMultilevel"/>
    <w:lvl w:ilvl="0">
      <w:lvlJc w:val="left"/>
      <w:lvlText w:val="в"/>
      <w:numFmt w:val="bullet"/>
      <w:start w:val="1"/>
    </w:lvl>
  </w:abstractNum>
  <w:abstractNum w:abstractNumId="87">
    <w:nsid w:val="5953172F"/>
    <w:multiLevelType w:val="hybridMultilevel"/>
    <w:lvl w:ilvl="0">
      <w:lvlJc w:val="left"/>
      <w:lvlText w:val="С"/>
      <w:numFmt w:val="bullet"/>
      <w:start w:val="1"/>
    </w:lvl>
  </w:abstractNum>
  <w:abstractNum w:abstractNumId="88">
    <w:nsid w:val="27EDFE3A"/>
    <w:multiLevelType w:val="hybridMultilevel"/>
    <w:lvl w:ilvl="0">
      <w:lvlJc w:val="left"/>
      <w:lvlText w:val="у"/>
      <w:numFmt w:val="bullet"/>
      <w:start w:val="1"/>
    </w:lvl>
  </w:abstractNum>
  <w:abstractNum w:abstractNumId="89">
    <w:nsid w:val="52AC7DFF"/>
    <w:multiLevelType w:val="hybridMultilevel"/>
    <w:lvl w:ilvl="0">
      <w:lvlJc w:val="left"/>
      <w:lvlText w:val="с"/>
      <w:numFmt w:val="bullet"/>
      <w:start w:val="1"/>
    </w:lvl>
  </w:abstractNum>
  <w:abstractNum w:abstractNumId="90">
    <w:nsid w:val="C4C3AF"/>
    <w:multiLevelType w:val="hybridMultilevel"/>
    <w:lvl w:ilvl="0">
      <w:lvlJc w:val="left"/>
      <w:lvlText w:val="%1"/>
      <w:numFmt w:val="decimal"/>
      <w:start w:val="10"/>
    </w:lvl>
  </w:abstractNum>
  <w:abstractNum w:abstractNumId="91">
    <w:nsid w:val="44380727"/>
    <w:multiLevelType w:val="hybridMultilevel"/>
    <w:lvl w:ilvl="0">
      <w:lvlJc w:val="left"/>
      <w:lvlText w:val="а"/>
      <w:numFmt w:val="bullet"/>
      <w:start w:val="1"/>
    </w:lvl>
  </w:abstractNum>
  <w:abstractNum w:abstractNumId="92">
    <w:nsid w:val="6C053B16"/>
    <w:multiLevelType w:val="hybridMultilevel"/>
    <w:lvl w:ilvl="0">
      <w:lvlJc w:val="left"/>
      <w:lvlText w:val="и"/>
      <w:numFmt w:val="bullet"/>
      <w:start w:val="1"/>
    </w:lvl>
  </w:abstractNum>
  <w:abstractNum w:abstractNumId="93">
    <w:nsid w:val="4F294393"/>
    <w:multiLevelType w:val="hybridMultilevel"/>
    <w:lvl w:ilvl="0">
      <w:lvlJc w:val="left"/>
      <w:lvlText w:val="и"/>
      <w:numFmt w:val="bullet"/>
      <w:start w:val="1"/>
    </w:lvl>
  </w:abstractNum>
  <w:abstractNum w:abstractNumId="94">
    <w:nsid w:val="5243BFAC"/>
    <w:multiLevelType w:val="hybridMultilevel"/>
    <w:lvl w:ilvl="0">
      <w:lvlJc w:val="left"/>
      <w:lvlText w:val="В"/>
      <w:numFmt w:val="bullet"/>
      <w:start w:val="1"/>
    </w:lvl>
  </w:abstractNum>
  <w:abstractNum w:abstractNumId="95">
    <w:nsid w:val="425EB207"/>
    <w:multiLevelType w:val="hybridMultilevel"/>
    <w:lvl w:ilvl="0">
      <w:lvlJc w:val="left"/>
      <w:lvlText w:val="в"/>
      <w:numFmt w:val="bullet"/>
      <w:start w:val="1"/>
    </w:lvl>
  </w:abstractNum>
  <w:abstractNum w:abstractNumId="96">
    <w:nsid w:val="334A6F1F"/>
    <w:multiLevelType w:val="hybridMultilevel"/>
    <w:lvl w:ilvl="0">
      <w:lvlJc w:val="left"/>
      <w:lvlText w:val="В"/>
      <w:numFmt w:val="bullet"/>
      <w:start w:val="1"/>
    </w:lvl>
  </w:abstractNum>
  <w:abstractNum w:abstractNumId="97">
    <w:nsid w:val="2E5B12B8"/>
    <w:multiLevelType w:val="hybridMultilevel"/>
    <w:lvl w:ilvl="0">
      <w:lvlJc w:val="left"/>
      <w:lvlText w:val="%1"/>
      <w:numFmt w:val="decimal"/>
      <w:start w:val="12"/>
    </w:lvl>
  </w:abstractNum>
  <w:abstractNum w:abstractNumId="98">
    <w:nsid w:val="5C03D76D"/>
    <w:multiLevelType w:val="hybridMultilevel"/>
    <w:lvl w:ilvl="0">
      <w:lvlJc w:val="left"/>
      <w:lvlText w:val="и"/>
      <w:numFmt w:val="bullet"/>
      <w:start w:val="1"/>
    </w:lvl>
  </w:abstractNum>
  <w:abstractNum w:abstractNumId="99">
    <w:nsid w:val="66A48D11"/>
    <w:multiLevelType w:val="hybridMultilevel"/>
    <w:lvl w:ilvl="0">
      <w:lvlJc w:val="left"/>
      <w:lvlText w:val="с"/>
      <w:numFmt w:val="bullet"/>
      <w:start w:val="1"/>
    </w:lvl>
  </w:abstractNum>
  <w:abstractNum w:abstractNumId="100">
    <w:nsid w:val="56C28E34"/>
    <w:multiLevelType w:val="hybridMultilevel"/>
    <w:lvl w:ilvl="0">
      <w:lvlJc w:val="left"/>
      <w:lvlText w:val="в"/>
      <w:numFmt w:val="bullet"/>
      <w:start w:val="1"/>
    </w:lvl>
  </w:abstractNum>
  <w:abstractNum w:abstractNumId="101">
    <w:nsid w:val="13916F2D"/>
    <w:multiLevelType w:val="hybridMultilevel"/>
    <w:lvl w:ilvl="0">
      <w:lvlJc w:val="left"/>
      <w:lvlText w:val="%1."/>
      <w:numFmt w:val="decimal"/>
      <w:start w:val="3"/>
    </w:lvl>
  </w:abstractNum>
  <w:abstractNum w:abstractNumId="102">
    <w:nsid w:val="435D38D"/>
    <w:multiLevelType w:val="hybridMultilevel"/>
    <w:lvl w:ilvl="0">
      <w:lvlJc w:val="left"/>
      <w:lvlText w:val="в"/>
      <w:numFmt w:val="bullet"/>
      <w:start w:val="1"/>
    </w:lvl>
  </w:abstractNum>
  <w:abstractNum w:abstractNumId="103">
    <w:nsid w:val="822C0EF"/>
    <w:multiLevelType w:val="hybridMultilevel"/>
    <w:lvl w:ilvl="0">
      <w:lvlJc w:val="left"/>
      <w:lvlText w:val="С"/>
      <w:numFmt w:val="bullet"/>
      <w:start w:val="1"/>
    </w:lvl>
  </w:abstractNum>
  <w:abstractNum w:abstractNumId="104">
    <w:nsid w:val="57C5BB4F"/>
    <w:multiLevelType w:val="hybridMultilevel"/>
    <w:lvl w:ilvl="0">
      <w:lvlJc w:val="left"/>
      <w:lvlText w:val="В"/>
      <w:numFmt w:val="bullet"/>
      <w:start w:val="1"/>
    </w:lvl>
  </w:abstractNum>
  <w:abstractNum w:abstractNumId="105">
    <w:nsid w:val="1803D089"/>
    <w:multiLevelType w:val="hybridMultilevel"/>
    <w:lvl w:ilvl="0">
      <w:lvlJc w:val="left"/>
      <w:lvlText w:val="в"/>
      <w:numFmt w:val="bullet"/>
      <w:start w:val="1"/>
    </w:lvl>
  </w:abstractNum>
  <w:abstractNum w:abstractNumId="106">
    <w:nsid w:val="4F3A06D4"/>
    <w:multiLevelType w:val="hybridMultilevel"/>
    <w:lvl w:ilvl="0">
      <w:lvlJc w:val="left"/>
      <w:lvlText w:val="В"/>
      <w:numFmt w:val="bullet"/>
      <w:start w:val="1"/>
    </w:lvl>
  </w:abstractNum>
  <w:abstractNum w:abstractNumId="107">
    <w:nsid w:val="59A377B6"/>
    <w:multiLevelType w:val="hybridMultilevel"/>
    <w:lvl w:ilvl="0">
      <w:lvlJc w:val="left"/>
      <w:lvlText w:val="%1"/>
      <w:numFmt w:val="decimal"/>
      <w:start w:val="1"/>
    </w:lvl>
  </w:abstractNum>
  <w:abstractNum w:abstractNumId="108">
    <w:nsid w:val="48AEB063"/>
    <w:multiLevelType w:val="hybridMultilevel"/>
    <w:lvl w:ilvl="0">
      <w:lvlJc w:val="left"/>
      <w:lvlText w:val="2"/>
      <w:numFmt w:val="bullet"/>
      <w:start w:val="1"/>
    </w:lvl>
  </w:abstractNum>
  <w:abstractNum w:abstractNumId="109">
    <w:nsid w:val="24E135"/>
    <w:multiLevelType w:val="hybridMultilevel"/>
    <w:lvl w:ilvl="0">
      <w:lvlJc w:val="left"/>
      <w:lvlText w:val="3"/>
      <w:numFmt w:val="bullet"/>
      <w:start w:val="1"/>
    </w:lvl>
  </w:abstractNum>
  <w:abstractNum w:abstractNumId="110">
    <w:nsid w:val="BB13C1"/>
    <w:multiLevelType w:val="hybridMultilevel"/>
    <w:lvl w:ilvl="0">
      <w:lvlJc w:val="left"/>
      <w:lvlText w:val="и"/>
      <w:numFmt w:val="bullet"/>
      <w:start w:val="1"/>
    </w:lvl>
  </w:abstractNum>
  <w:abstractNum w:abstractNumId="111">
    <w:nsid w:val="271210C7"/>
    <w:multiLevelType w:val="hybridMultilevel"/>
    <w:lvl w:ilvl="0">
      <w:lvlJc w:val="left"/>
      <w:lvlText w:val="и"/>
      <w:numFmt w:val="bullet"/>
      <w:start w:val="1"/>
    </w:lvl>
  </w:abstractNum>
  <w:abstractNum w:abstractNumId="112">
    <w:nsid w:val="217B22E4"/>
    <w:multiLevelType w:val="hybridMultilevel"/>
    <w:lvl w:ilvl="0">
      <w:lvlJc w:val="left"/>
      <w:lvlText w:val="4"/>
      <w:numFmt w:val="bullet"/>
      <w:start w:val="1"/>
    </w:lvl>
  </w:abstractNum>
  <w:abstractNum w:abstractNumId="113">
    <w:nsid w:val="53E31A24"/>
    <w:multiLevelType w:val="hybridMultilevel"/>
    <w:lvl w:ilvl="0">
      <w:lvlJc w:val="left"/>
      <w:lvlText w:val="5"/>
      <w:numFmt w:val="bullet"/>
      <w:start w:val="1"/>
    </w:lvl>
  </w:abstractNum>
  <w:abstractNum w:abstractNumId="114">
    <w:nsid w:val="6DC45E83"/>
    <w:multiLevelType w:val="hybridMultilevel"/>
    <w:lvl w:ilvl="0">
      <w:lvlJc w:val="left"/>
      <w:lvlText w:val="6"/>
      <w:numFmt w:val="bullet"/>
      <w:start w:val="1"/>
    </w:lvl>
  </w:abstractNum>
  <w:abstractNum w:abstractNumId="115">
    <w:nsid w:val="17304A67"/>
    <w:multiLevelType w:val="hybridMultilevel"/>
    <w:lvl w:ilvl="0">
      <w:lvlJc w:val="left"/>
      <w:lvlText w:val="7"/>
      <w:numFmt w:val="bullet"/>
      <w:start w:val="1"/>
    </w:lvl>
  </w:abstractNum>
  <w:abstractNum w:abstractNumId="116">
    <w:nsid w:val="2BB180D8"/>
    <w:multiLevelType w:val="hybridMultilevel"/>
    <w:lvl w:ilvl="0">
      <w:lvlJc w:val="left"/>
      <w:lvlText w:val="В"/>
      <w:numFmt w:val="bullet"/>
      <w:start w:val="1"/>
    </w:lvl>
  </w:abstractNum>
  <w:abstractNum w:abstractNumId="117">
    <w:nsid w:val="556B69ED"/>
    <w:multiLevelType w:val="hybridMultilevel"/>
    <w:lvl w:ilvl="0">
      <w:lvlJc w:val="left"/>
      <w:lvlText w:val="В"/>
      <w:numFmt w:val="bullet"/>
      <w:start w:val="1"/>
    </w:lvl>
  </w:abstractNum>
  <w:abstractNum w:abstractNumId="118">
    <w:nsid w:val="70836196"/>
    <w:multiLevelType w:val="hybridMultilevel"/>
    <w:lvl w:ilvl="0">
      <w:lvlJc w:val="left"/>
      <w:lvlText w:val="и"/>
      <w:numFmt w:val="bullet"/>
      <w:start w:val="1"/>
    </w:lvl>
  </w:abstractNum>
  <w:abstractNum w:abstractNumId="119">
    <w:nsid w:val="539F7F12"/>
    <w:multiLevelType w:val="hybridMultilevel"/>
    <w:lvl w:ilvl="0">
      <w:lvlJc w:val="left"/>
      <w:lvlText w:val="с"/>
      <w:numFmt w:val="bullet"/>
      <w:start w:val="1"/>
    </w:lvl>
  </w:abstractNum>
  <w:abstractNum w:abstractNumId="120">
    <w:nsid w:val="2817E7EC"/>
    <w:multiLevelType w:val="hybridMultilevel"/>
    <w:lvl w:ilvl="0">
      <w:lvlJc w:val="left"/>
      <w:lvlText w:val="8"/>
      <w:numFmt w:val="bullet"/>
      <w:start w:val="1"/>
    </w:lvl>
  </w:abstractNum>
  <w:abstractNum w:abstractNumId="121">
    <w:nsid w:val="71482545"/>
    <w:multiLevelType w:val="hybridMultilevel"/>
    <w:lvl w:ilvl="0">
      <w:lvlJc w:val="left"/>
      <w:lvlText w:val="9"/>
      <w:numFmt w:val="bullet"/>
      <w:start w:val="1"/>
    </w:lvl>
  </w:abstractNum>
  <w:abstractNum w:abstractNumId="122">
    <w:nsid w:val="17D78639"/>
    <w:multiLevelType w:val="hybridMultilevel"/>
    <w:lvl w:ilvl="0">
      <w:lvlJc w:val="left"/>
      <w:lvlText w:val="В"/>
      <w:numFmt w:val="bullet"/>
      <w:start w:val="1"/>
    </w:lvl>
  </w:abstractNum>
  <w:abstractNum w:abstractNumId="123">
    <w:nsid w:val="141D2302"/>
    <w:multiLevelType w:val="hybridMultilevel"/>
    <w:lvl w:ilvl="0">
      <w:lvlJc w:val="left"/>
      <w:lvlText w:val="и"/>
      <w:numFmt w:val="bullet"/>
      <w:start w:val="1"/>
    </w:lvl>
  </w:abstractNum>
  <w:abstractNum w:abstractNumId="124">
    <w:nsid w:val="407168D8"/>
    <w:multiLevelType w:val="hybridMultilevel"/>
    <w:lvl w:ilvl="0">
      <w:lvlJc w:val="left"/>
      <w:lvlText w:val="В"/>
      <w:numFmt w:val="bullet"/>
      <w:start w:val="1"/>
    </w:lvl>
  </w:abstractNum>
  <w:abstractNum w:abstractNumId="125">
    <w:nsid w:val="6A1B45E5"/>
    <w:multiLevelType w:val="hybridMultilevel"/>
    <w:lvl w:ilvl="0">
      <w:lvlJc w:val="left"/>
      <w:lvlText w:val="и"/>
      <w:numFmt w:val="bullet"/>
      <w:start w:val="1"/>
    </w:lvl>
  </w:abstractNum>
  <w:abstractNum w:abstractNumId="126">
    <w:nsid w:val="567BD50A"/>
    <w:multiLevelType w:val="hybridMultilevel"/>
    <w:lvl w:ilvl="0">
      <w:lvlJc w:val="left"/>
      <w:lvlText w:val="%1"/>
      <w:numFmt w:val="decimal"/>
      <w:start w:val="10"/>
    </w:lvl>
  </w:abstractNum>
  <w:abstractNum w:abstractNumId="127">
    <w:nsid w:val="73BBD7F8"/>
    <w:multiLevelType w:val="hybridMultilevel"/>
    <w:lvl w:ilvl="0">
      <w:lvlJc w:val="left"/>
      <w:lvlText w:val="и"/>
      <w:numFmt w:val="bullet"/>
      <w:start w:val="1"/>
    </w:lvl>
  </w:abstractNum>
  <w:abstractNum w:abstractNumId="128">
    <w:nsid w:val="1876589D"/>
    <w:multiLevelType w:val="hybridMultilevel"/>
    <w:lvl w:ilvl="0">
      <w:lvlJc w:val="left"/>
      <w:lvlText w:val="и"/>
      <w:numFmt w:val="bullet"/>
      <w:start w:val="1"/>
    </w:lvl>
  </w:abstractNum>
  <w:abstractNum w:abstractNumId="129">
    <w:nsid w:val="327FAC77"/>
    <w:multiLevelType w:val="hybridMultilevel"/>
    <w:lvl w:ilvl="0">
      <w:lvlJc w:val="left"/>
      <w:lvlText w:val="С"/>
      <w:numFmt w:val="bullet"/>
      <w:start w:val="1"/>
    </w:lvl>
  </w:abstractNum>
  <w:abstractNum w:abstractNumId="130">
    <w:nsid w:val="5A606509"/>
    <w:multiLevelType w:val="hybridMultilevel"/>
    <w:lvl w:ilvl="0">
      <w:lvlJc w:val="left"/>
      <w:lvlText w:val="%1"/>
      <w:numFmt w:val="decimal"/>
      <w:start w:val="12"/>
    </w:lvl>
    <w:lvl w:ilvl="1">
      <w:lvlJc w:val="left"/>
      <w:lvlText w:val="№"/>
      <w:numFmt w:val="bullet"/>
      <w:start w:val="1"/>
    </w:lvl>
  </w:abstractNum>
  <w:abstractNum w:abstractNumId="131">
    <w:nsid w:val="6F38E6D1"/>
    <w:multiLevelType w:val="hybridMultilevel"/>
    <w:lvl w:ilvl="0">
      <w:lvlJc w:val="left"/>
      <w:lvlText w:val="в"/>
      <w:numFmt w:val="bullet"/>
      <w:start w:val="1"/>
    </w:lvl>
  </w:abstractNum>
  <w:abstractNum w:abstractNumId="132">
    <w:nsid w:val="46111BA5"/>
    <w:multiLevelType w:val="hybridMultilevel"/>
    <w:lvl w:ilvl="0">
      <w:lvlJc w:val="left"/>
      <w:lvlText w:val="о"/>
      <w:numFmt w:val="bullet"/>
      <w:start w:val="1"/>
    </w:lvl>
  </w:abstractNum>
  <w:abstractNum w:abstractNumId="133">
    <w:nsid w:val="5E963896"/>
    <w:multiLevelType w:val="hybridMultilevel"/>
    <w:lvl w:ilvl="0">
      <w:lvlJc w:val="left"/>
      <w:lvlText w:val="в"/>
      <w:numFmt w:val="bullet"/>
      <w:start w:val="1"/>
    </w:lvl>
  </w:abstractNum>
  <w:abstractNum w:abstractNumId="134">
    <w:nsid w:val="775BA7C1"/>
    <w:multiLevelType w:val="hybridMultilevel"/>
    <w:lvl w:ilvl="0">
      <w:lvlJc w:val="left"/>
      <w:lvlText w:val="С"/>
      <w:numFmt w:val="bullet"/>
      <w:start w:val="1"/>
    </w:lvl>
  </w:abstractNum>
  <w:abstractNum w:abstractNumId="135">
    <w:nsid w:val="1DD6D6F4"/>
    <w:multiLevelType w:val="hybridMultilevel"/>
    <w:lvl w:ilvl="0">
      <w:lvlJc w:val="left"/>
      <w:lvlText w:val="и"/>
      <w:numFmt w:val="bullet"/>
      <w:start w:val="1"/>
    </w:lvl>
  </w:abstractNum>
  <w:abstractNum w:abstractNumId="136">
    <w:nsid w:val="769A091F"/>
    <w:multiLevelType w:val="hybridMultilevel"/>
    <w:lvl w:ilvl="0">
      <w:lvlJc w:val="left"/>
      <w:lvlText w:val="в"/>
      <w:numFmt w:val="bullet"/>
      <w:start w:val="1"/>
    </w:lvl>
  </w:abstractNum>
  <w:abstractNum w:abstractNumId="137">
    <w:nsid w:val="4695AE95"/>
    <w:multiLevelType w:val="hybridMultilevel"/>
    <w:lvl w:ilvl="0">
      <w:lvlJc w:val="left"/>
      <w:lvlText w:val="и"/>
      <w:numFmt w:val="bullet"/>
      <w:start w:val="1"/>
    </w:lvl>
  </w:abstractNum>
  <w:abstractNum w:abstractNumId="138">
    <w:nsid w:val="777A4EAA"/>
    <w:multiLevelType w:val="hybridMultilevel"/>
    <w:lvl w:ilvl="0">
      <w:lvlJc w:val="left"/>
      <w:lvlText w:val="о"/>
      <w:numFmt w:val="bullet"/>
      <w:start w:val="1"/>
    </w:lvl>
  </w:abstractNum>
  <w:abstractNum w:abstractNumId="139">
    <w:nsid w:val="3F48B982"/>
    <w:multiLevelType w:val="hybridMultilevel"/>
    <w:lvl w:ilvl="0">
      <w:lvlJc w:val="left"/>
      <w:lvlText w:val="%1"/>
      <w:numFmt w:val="decimal"/>
      <w:start w:val="14"/>
    </w:lvl>
  </w:abstractNum>
  <w:abstractNum w:abstractNumId="140">
    <w:nsid w:val="46BA8FCA"/>
    <w:multiLevelType w:val="hybridMultilevel"/>
    <w:lvl w:ilvl="0">
      <w:lvlJc w:val="left"/>
      <w:lvlText w:val="В"/>
      <w:numFmt w:val="bullet"/>
      <w:start w:val="1"/>
    </w:lvl>
  </w:abstractNum>
  <w:abstractNum w:abstractNumId="141">
    <w:nsid w:val="7835626C"/>
    <w:multiLevelType w:val="hybridMultilevel"/>
    <w:lvl w:ilvl="0">
      <w:lvlJc w:val="left"/>
      <w:lvlText w:val="и"/>
      <w:numFmt w:val="bullet"/>
      <w:start w:val="1"/>
    </w:lvl>
  </w:abstractNum>
  <w:abstractNum w:abstractNumId="142">
    <w:nsid w:val="665ACA49"/>
    <w:multiLevelType w:val="hybridMultilevel"/>
    <w:lvl w:ilvl="0">
      <w:lvlJc w:val="left"/>
      <w:lvlText w:val="к"/>
      <w:numFmt w:val="bullet"/>
      <w:start w:val="1"/>
    </w:lvl>
  </w:abstractNum>
  <w:abstractNum w:abstractNumId="143">
    <w:nsid w:val="6835B2AE"/>
    <w:multiLevelType w:val="hybridMultilevel"/>
    <w:lvl w:ilvl="0">
      <w:lvlJc w:val="left"/>
      <w:lvlText w:val="%1"/>
      <w:numFmt w:val="decimal"/>
      <w:start w:val="15"/>
    </w:lvl>
  </w:abstractNum>
  <w:abstractNum w:abstractNumId="144">
    <w:nsid w:val="4C187C90"/>
    <w:multiLevelType w:val="hybridMultilevel"/>
    <w:lvl w:ilvl="0">
      <w:lvlJc w:val="left"/>
      <w:lvlText w:val="а"/>
      <w:numFmt w:val="bullet"/>
      <w:start w:val="1"/>
    </w:lvl>
  </w:abstractNum>
  <w:abstractNum w:abstractNumId="145">
    <w:nsid w:val="541F28CD"/>
    <w:multiLevelType w:val="hybridMultilevel"/>
    <w:lvl w:ilvl="0">
      <w:lvlJc w:val="left"/>
      <w:lvlText w:val="В"/>
      <w:numFmt w:val="bullet"/>
      <w:start w:val="1"/>
    </w:lvl>
  </w:abstractNum>
  <w:abstractNum w:abstractNumId="146">
    <w:nsid w:val="7F65FD16"/>
    <w:multiLevelType w:val="hybridMultilevel"/>
    <w:lvl w:ilvl="0">
      <w:lvlJc w:val="left"/>
      <w:lvlText w:val="%1."/>
      <w:numFmt w:val="decimal"/>
      <w:start w:val="1"/>
    </w:lvl>
  </w:abstractNum>
  <w:abstractNum w:abstractNumId="147">
    <w:nsid w:val="77C9FD68"/>
    <w:multiLevelType w:val="hybridMultilevel"/>
    <w:lvl w:ilvl="0">
      <w:lvlJc w:val="left"/>
      <w:lvlText w:val="%1."/>
      <w:numFmt w:val="decimal"/>
      <w:start w:val="2"/>
    </w:lvl>
  </w:abstractNum>
  <w:abstractNum w:abstractNumId="148">
    <w:nsid w:val="298A92BA"/>
    <w:multiLevelType w:val="hybridMultilevel"/>
    <w:lvl w:ilvl="0">
      <w:lvlJc w:val="left"/>
      <w:lvlText w:val="В"/>
      <w:numFmt w:val="bullet"/>
      <w:start w:val="1"/>
    </w:lvl>
  </w:abstractNum>
  <w:abstractNum w:abstractNumId="149">
    <w:nsid w:val="6FE95EAC"/>
    <w:multiLevelType w:val="hybridMultilevel"/>
    <w:lvl w:ilvl="0">
      <w:lvlJc w:val="left"/>
      <w:lvlText w:val="%1"/>
      <w:numFmt w:val="decimal"/>
    </w:lvl>
    <w:lvl w:ilvl="1">
      <w:lvlJc w:val="left"/>
      <w:lvlText w:val="в"/>
      <w:numFmt w:val="bullet"/>
      <w:start w:val="1"/>
    </w:lvl>
  </w:abstractNum>
  <w:abstractNum w:abstractNumId="150">
    <w:nsid w:val="4B697C7A"/>
    <w:multiLevelType w:val="hybridMultilevel"/>
    <w:lvl w:ilvl="0">
      <w:lvlJc w:val="left"/>
      <w:lvlText w:val="С"/>
      <w:numFmt w:val="bullet"/>
      <w:start w:val="1"/>
    </w:lvl>
  </w:abstractNum>
  <w:abstractNum w:abstractNumId="151">
    <w:nsid w:val="51A27AA6"/>
    <w:multiLevelType w:val="hybridMultilevel"/>
    <w:lvl w:ilvl="0">
      <w:lvlJc w:val="left"/>
      <w:lvlText w:val="и"/>
      <w:numFmt w:val="bullet"/>
      <w:start w:val="1"/>
    </w:lvl>
  </w:abstractNum>
  <w:abstractNum w:abstractNumId="152">
    <w:nsid w:val="613183F2"/>
    <w:multiLevelType w:val="hybridMultilevel"/>
    <w:lvl w:ilvl="0">
      <w:lvlJc w:val="left"/>
      <w:lvlText w:val="%1"/>
      <w:numFmt w:val="decimal"/>
      <w:start w:val="17"/>
    </w:lvl>
  </w:abstractNum>
  <w:abstractNum w:abstractNumId="153">
    <w:nsid w:val="634102B4"/>
    <w:multiLevelType w:val="hybridMultilevel"/>
    <w:lvl w:ilvl="0">
      <w:lvlJc w:val="left"/>
      <w:lvlText w:val="к"/>
      <w:numFmt w:val="bullet"/>
      <w:start w:val="1"/>
    </w:lvl>
  </w:abstractNum>
  <w:abstractNum w:abstractNumId="154">
    <w:nsid w:val="65BF9DA8"/>
    <w:multiLevelType w:val="hybridMultilevel"/>
    <w:lvl w:ilvl="0">
      <w:lvlJc w:val="left"/>
      <w:lvlText w:val="В"/>
      <w:numFmt w:val="bullet"/>
      <w:start w:val="1"/>
    </w:lvl>
  </w:abstractNum>
  <w:abstractNum w:abstractNumId="155">
    <w:nsid w:val="21A2ECCA"/>
    <w:multiLevelType w:val="hybridMultilevel"/>
    <w:lvl w:ilvl="0">
      <w:lvlJc w:val="left"/>
      <w:lvlText w:val="с"/>
      <w:numFmt w:val="bullet"/>
      <w:start w:val="1"/>
    </w:lvl>
  </w:abstractNum>
  <w:abstractNum w:abstractNumId="156">
    <w:nsid w:val="4D5C4899"/>
    <w:multiLevelType w:val="hybridMultilevel"/>
    <w:lvl w:ilvl="0">
      <w:lvlJc w:val="left"/>
      <w:lvlText w:val="В"/>
      <w:numFmt w:val="bullet"/>
      <w:start w:val="1"/>
    </w:lvl>
  </w:abstractNum>
  <w:abstractNum w:abstractNumId="157">
    <w:nsid w:val="3C3B72B2"/>
    <w:multiLevelType w:val="hybridMultilevel"/>
    <w:lvl w:ilvl="0">
      <w:lvlJc w:val="left"/>
      <w:lvlText w:val="о"/>
      <w:numFmt w:val="bullet"/>
      <w:start w:val="1"/>
    </w:lvl>
  </w:abstractNum>
  <w:abstractNum w:abstractNumId="158">
    <w:nsid w:val="155EC4C2"/>
    <w:multiLevelType w:val="hybridMultilevel"/>
    <w:lvl w:ilvl="0">
      <w:lvlJc w:val="left"/>
      <w:lvlText w:val="в"/>
      <w:numFmt w:val="bullet"/>
      <w:start w:val="1"/>
    </w:lvl>
  </w:abstractNum>
  <w:abstractNum w:abstractNumId="159">
    <w:nsid w:val="65D2A137"/>
    <w:multiLevelType w:val="hybridMultilevel"/>
    <w:lvl w:ilvl="0">
      <w:lvlJc w:val="left"/>
      <w:lvlText w:val="%1"/>
      <w:numFmt w:val="decimal"/>
      <w:start w:val="21"/>
    </w:lvl>
  </w:abstractNum>
  <w:abstractNum w:abstractNumId="160">
    <w:nsid w:val="6EBB1F2A"/>
    <w:multiLevelType w:val="hybridMultilevel"/>
    <w:lvl w:ilvl="0">
      <w:lvlJc w:val="left"/>
      <w:lvlText w:val="%1"/>
      <w:numFmt w:val="decimal"/>
      <w:start w:val="22"/>
    </w:lvl>
  </w:abstractNum>
  <w:abstractNum w:abstractNumId="161">
    <w:nsid w:val="6FBF29CB"/>
    <w:multiLevelType w:val="hybridMultilevel"/>
    <w:lvl w:ilvl="0">
      <w:lvlJc w:val="left"/>
      <w:lvlText w:val="В"/>
      <w:numFmt w:val="bullet"/>
      <w:start w:val="1"/>
    </w:lvl>
  </w:abstractNum>
  <w:abstractNum w:abstractNumId="162">
    <w:nsid w:val="550B8808"/>
    <w:multiLevelType w:val="hybridMultilevel"/>
    <w:lvl w:ilvl="0">
      <w:lvlJc w:val="left"/>
      <w:lvlText w:val="и"/>
      <w:numFmt w:val="bullet"/>
      <w:start w:val="1"/>
    </w:lvl>
  </w:abstractNum>
  <w:abstractNum w:abstractNumId="163">
    <w:nsid w:val="34CC3ACF"/>
    <w:multiLevelType w:val="hybridMultilevel"/>
    <w:lvl w:ilvl="0">
      <w:lvlJc w:val="left"/>
      <w:lvlText w:val="%1"/>
      <w:numFmt w:val="decimal"/>
      <w:start w:val="24"/>
    </w:lvl>
  </w:abstractNum>
  <w:abstractNum w:abstractNumId="164">
    <w:nsid w:val="4E556261"/>
    <w:multiLevelType w:val="hybridMultilevel"/>
    <w:lvl w:ilvl="0">
      <w:lvlJc w:val="left"/>
      <w:lvlText w:val="в"/>
      <w:numFmt w:val="bullet"/>
      <w:start w:val="1"/>
    </w:lvl>
  </w:abstractNum>
  <w:abstractNum w:abstractNumId="165">
    <w:nsid w:val="4C672FC9"/>
    <w:multiLevelType w:val="hybridMultilevel"/>
    <w:lvl w:ilvl="0">
      <w:lvlJc w:val="left"/>
      <w:lvlText w:val="и"/>
      <w:numFmt w:val="bullet"/>
      <w:start w:val="1"/>
    </w:lvl>
  </w:abstractNum>
  <w:abstractNum w:abstractNumId="166">
    <w:nsid w:val="52A311C3"/>
    <w:multiLevelType w:val="hybridMultilevel"/>
    <w:lvl w:ilvl="0">
      <w:lvlJc w:val="left"/>
      <w:lvlText w:val="%1"/>
      <w:numFmt w:val="decimal"/>
      <w:start w:val="26"/>
    </w:lvl>
  </w:abstractNum>
  <w:abstractNum w:abstractNumId="167">
    <w:nsid w:val="44EF6B80"/>
    <w:multiLevelType w:val="hybridMultilevel"/>
    <w:lvl w:ilvl="0">
      <w:lvlJc w:val="left"/>
      <w:lvlText w:val="о"/>
      <w:numFmt w:val="bullet"/>
      <w:start w:val="1"/>
    </w:lvl>
  </w:abstractNum>
  <w:abstractNum w:abstractNumId="168">
    <w:nsid w:val="12FCDE5E"/>
    <w:multiLevelType w:val="hybridMultilevel"/>
    <w:lvl w:ilvl="0">
      <w:lvlJc w:val="left"/>
      <w:lvlText w:val="и"/>
      <w:numFmt w:val="bullet"/>
      <w:start w:val="1"/>
    </w:lvl>
  </w:abstractNum>
  <w:abstractNum w:abstractNumId="169">
    <w:nsid w:val="4A1D606E"/>
    <w:multiLevelType w:val="hybridMultilevel"/>
    <w:lvl w:ilvl="0">
      <w:lvlJc w:val="left"/>
      <w:lvlText w:val="В"/>
      <w:numFmt w:val="bullet"/>
      <w:start w:val="1"/>
    </w:lvl>
  </w:abstractNum>
  <w:abstractNum w:abstractNumId="170">
    <w:nsid w:val="4382503"/>
    <w:multiLevelType w:val="hybridMultilevel"/>
    <w:lvl w:ilvl="0">
      <w:lvlJc w:val="left"/>
      <w:lvlText w:val="%1"/>
      <w:numFmt w:val="decimal"/>
      <w:start w:val="28"/>
    </w:lvl>
  </w:abstractNum>
  <w:abstractNum w:abstractNumId="171">
    <w:nsid w:val="59B76E28"/>
    <w:multiLevelType w:val="hybridMultilevel"/>
    <w:lvl w:ilvl="0">
      <w:lvlJc w:val="left"/>
      <w:lvlText w:val="в"/>
      <w:numFmt w:val="bullet"/>
      <w:start w:val="1"/>
    </w:lvl>
  </w:abstractNum>
  <w:abstractNum w:abstractNumId="172">
    <w:nsid w:val="4252C2DA"/>
    <w:multiLevelType w:val="hybridMultilevel"/>
    <w:lvl w:ilvl="0">
      <w:lvlJc w:val="left"/>
      <w:lvlText w:val="и"/>
      <w:numFmt w:val="bullet"/>
      <w:start w:val="1"/>
    </w:lvl>
  </w:abstractNum>
  <w:abstractNum w:abstractNumId="173">
    <w:nsid w:val="6A92EF4C"/>
    <w:multiLevelType w:val="hybridMultilevel"/>
    <w:lvl w:ilvl="0">
      <w:lvlJc w:val="left"/>
      <w:lvlText w:val="В"/>
      <w:numFmt w:val="bullet"/>
      <w:start w:val="1"/>
    </w:lvl>
  </w:abstractNum>
  <w:abstractNum w:abstractNumId="174">
    <w:nsid w:val="41ED20D7"/>
    <w:multiLevelType w:val="hybridMultilevel"/>
    <w:lvl w:ilvl="0">
      <w:lvlJc w:val="left"/>
      <w:lvlText w:val="к"/>
      <w:numFmt w:val="bullet"/>
      <w:start w:val="1"/>
    </w:lvl>
  </w:abstractNum>
  <w:abstractNum w:abstractNumId="175">
    <w:nsid w:val="E6B3F6A"/>
    <w:multiLevelType w:val="hybridMultilevel"/>
    <w:lvl w:ilvl="0">
      <w:lvlJc w:val="left"/>
      <w:lvlText w:val="и"/>
      <w:numFmt w:val="bullet"/>
      <w:start w:val="1"/>
    </w:lvl>
  </w:abstractNum>
  <w:abstractNum w:abstractNumId="176">
    <w:nsid w:val="3EB21819"/>
    <w:multiLevelType w:val="hybridMultilevel"/>
    <w:lvl w:ilvl="0">
      <w:lvlJc w:val="left"/>
      <w:lvlText w:val="%1"/>
      <w:numFmt w:val="decimal"/>
      <w:start w:val="31"/>
    </w:lvl>
  </w:abstractNum>
  <w:abstractNum w:abstractNumId="177">
    <w:nsid w:val="41531DED"/>
    <w:multiLevelType w:val="hybridMultilevel"/>
    <w:lvl w:ilvl="0">
      <w:lvlJc w:val="left"/>
      <w:lvlText w:val="и"/>
      <w:numFmt w:val="bullet"/>
      <w:start w:val="1"/>
    </w:lvl>
  </w:abstractNum>
  <w:abstractNum w:abstractNumId="178">
    <w:nsid w:val="6353CD2"/>
    <w:multiLevelType w:val="hybridMultilevel"/>
    <w:lvl w:ilvl="0">
      <w:lvlJc w:val="left"/>
      <w:lvlText w:val="В"/>
      <w:numFmt w:val="bullet"/>
      <w:start w:val="1"/>
    </w:lvl>
  </w:abstractNum>
  <w:abstractNum w:abstractNumId="179">
    <w:nsid w:val="683CAAD3"/>
    <w:multiLevelType w:val="hybridMultilevel"/>
    <w:lvl w:ilvl="0">
      <w:lvlJc w:val="left"/>
      <w:lvlText w:val="а"/>
      <w:numFmt w:val="bullet"/>
      <w:start w:val="1"/>
    </w:lvl>
  </w:abstractNum>
  <w:abstractNum w:abstractNumId="180">
    <w:nsid w:val="313C7C99"/>
    <w:multiLevelType w:val="hybridMultilevel"/>
    <w:lvl w:ilvl="0">
      <w:lvlJc w:val="left"/>
      <w:lvlText w:val="и"/>
      <w:numFmt w:val="bullet"/>
      <w:start w:val="1"/>
    </w:lvl>
  </w:abstractNum>
  <w:abstractNum w:abstractNumId="181">
    <w:nsid w:val="519EB94C"/>
    <w:multiLevelType w:val="hybridMultilevel"/>
    <w:lvl w:ilvl="0">
      <w:lvlJc w:val="left"/>
      <w:lvlText w:val="с"/>
      <w:numFmt w:val="bullet"/>
      <w:start w:val="1"/>
    </w:lvl>
  </w:abstractNum>
  <w:abstractNum w:abstractNumId="182">
    <w:nsid w:val="39DF2579"/>
    <w:multiLevelType w:val="hybridMultilevel"/>
    <w:lvl w:ilvl="0">
      <w:lvlJc w:val="left"/>
      <w:lvlText w:val="%1"/>
      <w:numFmt w:val="decimal"/>
      <w:start w:val="34"/>
    </w:lvl>
  </w:abstractNum>
  <w:abstractNum w:abstractNumId="183">
    <w:nsid w:val="126E008B"/>
    <w:multiLevelType w:val="hybridMultilevel"/>
    <w:lvl w:ilvl="0">
      <w:lvlJc w:val="left"/>
      <w:lvlText w:val="в"/>
      <w:numFmt w:val="bullet"/>
      <w:start w:val="1"/>
    </w:lvl>
  </w:abstractNum>
  <w:abstractNum w:abstractNumId="184">
    <w:nsid w:val="34DFBC00"/>
    <w:multiLevelType w:val="hybridMultilevel"/>
    <w:lvl w:ilvl="0">
      <w:lvlJc w:val="left"/>
      <w:lvlText w:val="%1"/>
      <w:numFmt w:val="decimal"/>
      <w:start w:val="35"/>
    </w:lvl>
  </w:abstractNum>
  <w:abstractNum w:abstractNumId="185">
    <w:nsid w:val="1F9EC322"/>
    <w:multiLevelType w:val="hybridMultilevel"/>
    <w:lvl w:ilvl="0">
      <w:lvlJc w:val="left"/>
      <w:lvlText w:val="к"/>
      <w:numFmt w:val="bullet"/>
      <w:start w:val="1"/>
    </w:lvl>
  </w:abstractNum>
  <w:abstractNum w:abstractNumId="186">
    <w:nsid w:val="3410ED56"/>
    <w:multiLevelType w:val="hybridMultilevel"/>
    <w:lvl w:ilvl="0">
      <w:lvlJc w:val="left"/>
      <w:lvlText w:val="В"/>
      <w:numFmt w:val="bullet"/>
      <w:start w:val="1"/>
    </w:lvl>
  </w:abstractNum>
  <w:abstractNum w:abstractNumId="187">
    <w:nsid w:val="23C049A"/>
    <w:multiLevelType w:val="hybridMultilevel"/>
    <w:lvl w:ilvl="0">
      <w:lvlJc w:val="left"/>
      <w:lvlText w:val="в"/>
      <w:numFmt w:val="bullet"/>
      <w:start w:val="1"/>
    </w:lvl>
  </w:abstractNum>
  <w:abstractNum w:abstractNumId="188">
    <w:nsid w:val="5BDA35D4"/>
    <w:multiLevelType w:val="hybridMultilevel"/>
    <w:lvl w:ilvl="0">
      <w:lvlJc w:val="left"/>
      <w:lvlText w:val="в"/>
      <w:numFmt w:val="bullet"/>
      <w:start w:val="1"/>
    </w:lvl>
  </w:abstractNum>
  <w:abstractNum w:abstractNumId="189">
    <w:nsid w:val="496FB218"/>
    <w:multiLevelType w:val="hybridMultilevel"/>
    <w:lvl w:ilvl="0">
      <w:lvlJc w:val="left"/>
      <w:lvlText w:val="%1"/>
      <w:numFmt w:val="decimal"/>
      <w:start w:val="40"/>
    </w:lvl>
  </w:abstractNum>
  <w:abstractNum w:abstractNumId="190">
    <w:nsid w:val="680EA5D1"/>
    <w:multiLevelType w:val="hybridMultilevel"/>
    <w:lvl w:ilvl="0">
      <w:lvlJc w:val="left"/>
      <w:lvlText w:val="с"/>
      <w:numFmt w:val="bullet"/>
      <w:start w:val="1"/>
    </w:lvl>
  </w:abstractNum>
  <w:abstractNum w:abstractNumId="191">
    <w:nsid w:val="4A9554FE"/>
    <w:multiLevelType w:val="hybridMultilevel"/>
    <w:lvl w:ilvl="0">
      <w:lvlJc w:val="left"/>
      <w:lvlText w:val="В"/>
      <w:numFmt w:val="bullet"/>
      <w:start w:val="1"/>
    </w:lvl>
  </w:abstractNum>
  <w:abstractNum w:abstractNumId="192">
    <w:nsid w:val="392EDBE4"/>
    <w:multiLevelType w:val="hybridMultilevel"/>
    <w:lvl w:ilvl="0">
      <w:lvlJc w:val="left"/>
      <w:lvlText w:val="В"/>
      <w:numFmt w:val="bullet"/>
      <w:start w:val="1"/>
    </w:lvl>
  </w:abstractNum>
  <w:abstractNum w:abstractNumId="193">
    <w:nsid w:val="3D1A2DD9"/>
    <w:multiLevelType w:val="hybridMultilevel"/>
    <w:lvl w:ilvl="0">
      <w:lvlJc w:val="left"/>
      <w:lvlText w:val="%1"/>
      <w:numFmt w:val="decimal"/>
      <w:start w:val="44"/>
    </w:lvl>
  </w:abstractNum>
  <w:abstractNum w:abstractNumId="194">
    <w:nsid w:val="7F618FCD"/>
    <w:multiLevelType w:val="hybridMultilevel"/>
    <w:lvl w:ilvl="0">
      <w:lvlJc w:val="left"/>
      <w:lvlText w:val="С"/>
      <w:numFmt w:val="bullet"/>
      <w:start w:val="1"/>
    </w:lvl>
  </w:abstractNum>
  <w:abstractNum w:abstractNumId="195">
    <w:nsid w:val="7843E45"/>
    <w:multiLevelType w:val="hybridMultilevel"/>
    <w:lvl w:ilvl="0">
      <w:lvlJc w:val="left"/>
      <w:lvlText w:val="и"/>
      <w:numFmt w:val="bullet"/>
      <w:start w:val="1"/>
    </w:lvl>
  </w:abstractNum>
  <w:abstractNum w:abstractNumId="196">
    <w:nsid w:val="9815DA3"/>
    <w:multiLevelType w:val="hybridMultilevel"/>
    <w:lvl w:ilvl="0">
      <w:lvlJc w:val="left"/>
      <w:lvlText w:val="В"/>
      <w:numFmt w:val="bullet"/>
      <w:start w:val="1"/>
    </w:lvl>
  </w:abstractNum>
  <w:abstractNum w:abstractNumId="197">
    <w:nsid w:val="5204A191"/>
    <w:multiLevelType w:val="hybridMultilevel"/>
    <w:lvl w:ilvl="0">
      <w:lvlJc w:val="left"/>
      <w:lvlText w:val="в"/>
      <w:numFmt w:val="bullet"/>
      <w:start w:val="1"/>
    </w:lvl>
  </w:abstractNum>
  <w:abstractNum w:abstractNumId="198">
    <w:nsid w:val="4C73A9C6"/>
    <w:multiLevelType w:val="hybridMultilevel"/>
    <w:lvl w:ilvl="0">
      <w:lvlJc w:val="left"/>
      <w:lvlText w:val="с"/>
      <w:numFmt w:val="bullet"/>
      <w:start w:val="1"/>
    </w:lvl>
  </w:abstractNum>
  <w:abstractNum w:abstractNumId="199">
    <w:nsid w:val="1C7E3C01"/>
    <w:multiLevelType w:val="hybridMultilevel"/>
    <w:lvl w:ilvl="0">
      <w:lvlJc w:val="left"/>
      <w:lvlText w:val="%1"/>
      <w:numFmt w:val="decimal"/>
      <w:start w:val="47"/>
    </w:lvl>
  </w:abstractNum>
  <w:abstractNum w:abstractNumId="200">
    <w:nsid w:val="1C2201FF"/>
    <w:multiLevelType w:val="hybridMultilevel"/>
    <w:lvl w:ilvl="0">
      <w:lvlJc w:val="left"/>
      <w:lvlText w:val="и"/>
      <w:numFmt w:val="bullet"/>
      <w:start w:val="1"/>
    </w:lvl>
  </w:abstractNum>
  <w:abstractNum w:abstractNumId="201">
    <w:nsid w:val="50ABCEC9"/>
    <w:multiLevelType w:val="hybridMultilevel"/>
    <w:lvl w:ilvl="0">
      <w:lvlJc w:val="left"/>
      <w:lvlText w:val="В"/>
      <w:numFmt w:val="bullet"/>
      <w:start w:val="1"/>
    </w:lvl>
  </w:abstractNum>
  <w:abstractNum w:abstractNumId="202">
    <w:nsid w:val="7635AA2A"/>
    <w:multiLevelType w:val="hybridMultilevel"/>
    <w:lvl w:ilvl="0">
      <w:lvlJc w:val="left"/>
      <w:lvlText w:val="С"/>
      <w:numFmt w:val="bullet"/>
      <w:start w:val="1"/>
    </w:lvl>
  </w:abstractNum>
  <w:abstractNum w:abstractNumId="203">
    <w:nsid w:val="5E74C4D9"/>
    <w:multiLevelType w:val="hybridMultilevel"/>
    <w:lvl w:ilvl="0">
      <w:lvlJc w:val="left"/>
      <w:lvlText w:val="с"/>
      <w:numFmt w:val="bullet"/>
      <w:start w:val="1"/>
    </w:lvl>
  </w:abstractNum>
  <w:abstractNum w:abstractNumId="204">
    <w:nsid w:val="3B3EBE15"/>
    <w:multiLevelType w:val="hybridMultilevel"/>
    <w:lvl w:ilvl="0">
      <w:lvlJc w:val="left"/>
      <w:lvlText w:val="%1"/>
      <w:numFmt w:val="decimal"/>
      <w:start w:val="48"/>
    </w:lvl>
  </w:abstractNum>
  <w:abstractNum w:abstractNumId="205">
    <w:nsid w:val="3822CB01"/>
    <w:multiLevelType w:val="hybridMultilevel"/>
    <w:lvl w:ilvl="0">
      <w:lvlJc w:val="left"/>
      <w:lvlText w:val="%1."/>
      <w:numFmt w:val="decimal"/>
      <w:start w:val="3"/>
    </w:lvl>
  </w:abstractNum>
  <w:abstractNum w:abstractNumId="206">
    <w:nsid w:val="6CE00443"/>
    <w:multiLevelType w:val="hybridMultilevel"/>
    <w:lvl w:ilvl="0">
      <w:lvlJc w:val="left"/>
      <w:lvlText w:val="и"/>
      <w:numFmt w:val="bullet"/>
      <w:start w:val="1"/>
    </w:lvl>
  </w:abstractNum>
  <w:abstractNum w:abstractNumId="207">
    <w:nsid w:val="79F0D62F"/>
    <w:multiLevelType w:val="hybridMultilevel"/>
    <w:lvl w:ilvl="0">
      <w:lvlJc w:val="left"/>
      <w:lvlText w:val="В"/>
      <w:numFmt w:val="bullet"/>
      <w:start w:val="1"/>
    </w:lvl>
  </w:abstractNum>
  <w:abstractNum w:abstractNumId="208">
    <w:nsid w:val="7975E8EE"/>
    <w:multiLevelType w:val="hybridMultilevel"/>
    <w:lvl w:ilvl="0">
      <w:lvlJc w:val="left"/>
      <w:lvlText w:val="В"/>
      <w:numFmt w:val="bullet"/>
      <w:start w:val="1"/>
    </w:lvl>
  </w:abstractNum>
  <w:abstractNum w:abstractNumId="209">
    <w:nsid w:val="73154115"/>
    <w:multiLevelType w:val="hybridMultilevel"/>
    <w:lvl w:ilvl="0">
      <w:lvlJc w:val="left"/>
      <w:lvlText w:val="в"/>
      <w:numFmt w:val="bullet"/>
      <w:start w:val="1"/>
    </w:lvl>
  </w:abstractNum>
  <w:abstractNum w:abstractNumId="210">
    <w:nsid w:val="622D8102"/>
    <w:multiLevelType w:val="hybridMultilevel"/>
    <w:lvl w:ilvl="0">
      <w:lvlJc w:val="left"/>
      <w:lvlText w:val="В"/>
      <w:numFmt w:val="bullet"/>
      <w:start w:val="1"/>
    </w:lvl>
  </w:abstractNum>
  <w:abstractNum w:abstractNumId="211">
    <w:nsid w:val="2AB26587"/>
    <w:multiLevelType w:val="hybridMultilevel"/>
    <w:lvl w:ilvl="0">
      <w:lvlJc w:val="left"/>
      <w:lvlText w:val="%1"/>
      <w:numFmt w:val="decimal"/>
      <w:start w:val="51"/>
    </w:lvl>
  </w:abstractNum>
  <w:abstractNum w:abstractNumId="212">
    <w:nsid w:val="44B3FA61"/>
    <w:multiLevelType w:val="hybridMultilevel"/>
    <w:lvl w:ilvl="0">
      <w:lvlJc w:val="left"/>
      <w:lvlText w:val="с"/>
      <w:numFmt w:val="bullet"/>
      <w:start w:val="1"/>
    </w:lvl>
  </w:abstractNum>
  <w:abstractNum w:abstractNumId="213">
    <w:nsid w:val="1C0CA67C"/>
    <w:multiLevelType w:val="hybridMultilevel"/>
    <w:lvl w:ilvl="0">
      <w:lvlJc w:val="left"/>
      <w:lvlText w:val="с"/>
      <w:numFmt w:val="bullet"/>
      <w:start w:val="1"/>
    </w:lvl>
  </w:abstractNum>
  <w:abstractNum w:abstractNumId="214">
    <w:nsid w:val="3D206613"/>
    <w:multiLevelType w:val="hybridMultilevel"/>
    <w:lvl w:ilvl="0">
      <w:lvlJc w:val="left"/>
      <w:lvlText w:val="%1"/>
      <w:numFmt w:val="decimal"/>
      <w:start w:val="52"/>
    </w:lvl>
    <w:lvl w:ilvl="1">
      <w:lvlJc w:val="left"/>
      <w:lvlText w:val="в"/>
      <w:numFmt w:val="bullet"/>
      <w:start w:val="1"/>
    </w:lvl>
    <w:lvl w:ilvl="2">
      <w:lvlJc w:val="left"/>
      <w:lvlText w:val="с"/>
      <w:numFmt w:val="bullet"/>
      <w:start w:val="1"/>
    </w:lvl>
  </w:abstractNum>
  <w:abstractNum w:abstractNumId="215">
    <w:nsid w:val="7993B662"/>
    <w:multiLevelType w:val="hybridMultilevel"/>
    <w:lvl w:ilvl="0">
      <w:lvlJc w:val="left"/>
      <w:lvlText w:val="В"/>
      <w:numFmt w:val="bullet"/>
      <w:start w:val="1"/>
    </w:lvl>
  </w:abstractNum>
  <w:abstractNum w:abstractNumId="216">
    <w:nsid w:val="3BAB699E"/>
    <w:multiLevelType w:val="hybridMultilevel"/>
    <w:lvl w:ilvl="0">
      <w:lvlJc w:val="left"/>
      <w:lvlText w:val="С"/>
      <w:numFmt w:val="bullet"/>
      <w:start w:val="1"/>
    </w:lvl>
  </w:abstractNum>
  <w:abstractNum w:abstractNumId="217">
    <w:nsid w:val="71315369"/>
    <w:multiLevelType w:val="hybridMultilevel"/>
    <w:lvl w:ilvl="0">
      <w:lvlJc w:val="left"/>
      <w:lvlText w:val="%1"/>
      <w:numFmt w:val="decimal"/>
      <w:start w:val="55"/>
    </w:lvl>
  </w:abstractNum>
  <w:abstractNum w:abstractNumId="218">
    <w:nsid w:val="7BCFBAFC"/>
    <w:multiLevelType w:val="hybridMultilevel"/>
    <w:lvl w:ilvl="0">
      <w:lvlJc w:val="left"/>
      <w:lvlText w:val="В"/>
      <w:numFmt w:val="bullet"/>
      <w:start w:val="1"/>
    </w:lvl>
  </w:abstractNum>
  <w:abstractNum w:abstractNumId="219">
    <w:nsid w:val="17859F72"/>
    <w:multiLevelType w:val="hybridMultilevel"/>
    <w:lvl w:ilvl="0">
      <w:lvlJc w:val="left"/>
      <w:lvlText w:val="в"/>
      <w:numFmt w:val="bullet"/>
      <w:start w:val="1"/>
    </w:lvl>
  </w:abstractNum>
  <w:abstractNum w:abstractNumId="220">
    <w:nsid w:val="3AA10581"/>
    <w:multiLevelType w:val="hybridMultilevel"/>
    <w:lvl w:ilvl="0">
      <w:lvlJc w:val="left"/>
      <w:lvlText w:val="с"/>
      <w:numFmt w:val="bullet"/>
      <w:start w:val="1"/>
    </w:lvl>
  </w:abstractNum>
  <w:abstractNum w:abstractNumId="221">
    <w:nsid w:val="63DE60CD"/>
    <w:multiLevelType w:val="hybridMultilevel"/>
    <w:lvl w:ilvl="0">
      <w:lvlJc w:val="left"/>
      <w:lvlText w:val="и"/>
      <w:numFmt w:val="bullet"/>
      <w:start w:val="1"/>
    </w:lvl>
  </w:abstractNum>
  <w:abstractNum w:abstractNumId="222">
    <w:nsid w:val="621AF471"/>
    <w:multiLevelType w:val="hybridMultilevel"/>
    <w:lvl w:ilvl="0">
      <w:lvlJc w:val="left"/>
      <w:lvlText w:val="и"/>
      <w:numFmt w:val="bullet"/>
      <w:start w:val="1"/>
    </w:lvl>
  </w:abstractNum>
  <w:abstractNum w:abstractNumId="223">
    <w:nsid w:val="73CFE165"/>
    <w:multiLevelType w:val="hybridMultilevel"/>
    <w:lvl w:ilvl="0">
      <w:lvlJc w:val="left"/>
      <w:lvlText w:val="В"/>
      <w:numFmt w:val="bullet"/>
      <w:start w:val="1"/>
    </w:lvl>
  </w:abstractNum>
  <w:abstractNum w:abstractNumId="224">
    <w:nsid w:val="20F88EA6"/>
    <w:multiLevelType w:val="hybridMultilevel"/>
    <w:lvl w:ilvl="0">
      <w:lvlJc w:val="left"/>
      <w:lvlText w:val="%1"/>
      <w:numFmt w:val="decimal"/>
      <w:start w:val="56"/>
    </w:lvl>
  </w:abstractNum>
  <w:abstractNum w:abstractNumId="225">
    <w:nsid w:val="617C843E"/>
    <w:multiLevelType w:val="hybridMultilevel"/>
    <w:lvl w:ilvl="0">
      <w:lvlJc w:val="left"/>
      <w:lvlText w:val="В"/>
      <w:numFmt w:val="bullet"/>
      <w:start w:val="1"/>
    </w:lvl>
  </w:abstractNum>
  <w:abstractNum w:abstractNumId="226">
    <w:nsid w:val="7B541FAB"/>
    <w:multiLevelType w:val="hybridMultilevel"/>
    <w:lvl w:ilvl="0">
      <w:lvlJc w:val="left"/>
      <w:lvlText w:val="в"/>
      <w:numFmt w:val="bullet"/>
      <w:start w:val="1"/>
    </w:lvl>
  </w:abstractNum>
  <w:abstractNum w:abstractNumId="227">
    <w:nsid w:val="2A79EC49"/>
    <w:multiLevelType w:val="hybridMultilevel"/>
    <w:lvl w:ilvl="0">
      <w:lvlJc w:val="left"/>
      <w:lvlText w:val="в"/>
      <w:numFmt w:val="bullet"/>
      <w:start w:val="1"/>
    </w:lvl>
  </w:abstractNum>
  <w:abstractNum w:abstractNumId="228">
    <w:nsid w:val="338125CF"/>
    <w:multiLevelType w:val="hybridMultilevel"/>
    <w:lvl w:ilvl="0">
      <w:lvlJc w:val="left"/>
      <w:lvlText w:val="В"/>
      <w:numFmt w:val="bullet"/>
      <w:start w:val="1"/>
    </w:lvl>
  </w:abstractNum>
  <w:abstractNum w:abstractNumId="229">
    <w:nsid w:val="47C7C971"/>
    <w:multiLevelType w:val="hybridMultilevel"/>
    <w:lvl w:ilvl="0">
      <w:lvlJc w:val="left"/>
      <w:lvlText w:val="В"/>
      <w:numFmt w:val="bullet"/>
      <w:start w:val="1"/>
    </w:lvl>
  </w:abstractNum>
  <w:abstractNum w:abstractNumId="230">
    <w:nsid w:val="46F8284B"/>
    <w:multiLevelType w:val="hybridMultilevel"/>
    <w:lvl w:ilvl="0">
      <w:lvlJc w:val="left"/>
      <w:lvlText w:val="В"/>
      <w:numFmt w:val="bullet"/>
      <w:start w:val="1"/>
    </w:lvl>
  </w:abstractNum>
  <w:abstractNum w:abstractNumId="231">
    <w:nsid w:val="4FA327CE"/>
    <w:multiLevelType w:val="hybridMultilevel"/>
    <w:lvl w:ilvl="0">
      <w:lvlJc w:val="left"/>
      <w:lvlText w:val="и"/>
      <w:numFmt w:val="bullet"/>
      <w:start w:val="1"/>
    </w:lvl>
  </w:abstractNum>
  <w:abstractNum w:abstractNumId="232">
    <w:nsid w:val="1873983A"/>
    <w:multiLevelType w:val="hybridMultilevel"/>
    <w:lvl w:ilvl="0">
      <w:lvlJc w:val="left"/>
      <w:lvlText w:val="В"/>
      <w:numFmt w:val="bullet"/>
      <w:start w:val="1"/>
    </w:lvl>
  </w:abstractNum>
  <w:abstractNum w:abstractNumId="233">
    <w:nsid w:val="3D2DD275"/>
    <w:multiLevelType w:val="hybridMultilevel"/>
    <w:lvl w:ilvl="0">
      <w:lvlJc w:val="left"/>
      <w:lvlText w:val="с"/>
      <w:numFmt w:val="bullet"/>
      <w:start w:val="1"/>
    </w:lvl>
  </w:abstractNum>
  <w:abstractNum w:abstractNumId="234">
    <w:nsid w:val="2E17ECA7"/>
    <w:multiLevelType w:val="hybridMultilevel"/>
    <w:lvl w:ilvl="0">
      <w:lvlJc w:val="left"/>
      <w:lvlText w:val="%1"/>
      <w:numFmt w:val="decimal"/>
      <w:start w:val="57"/>
    </w:lvl>
  </w:abstractNum>
  <w:abstractNum w:abstractNumId="235">
    <w:nsid w:val="53B2564F"/>
    <w:multiLevelType w:val="hybridMultilevel"/>
    <w:lvl w:ilvl="0">
      <w:lvlJc w:val="left"/>
      <w:lvlText w:val="в"/>
      <w:numFmt w:val="bullet"/>
      <w:start w:val="1"/>
    </w:lvl>
  </w:abstractNum>
  <w:abstractNum w:abstractNumId="236">
    <w:nsid w:val="75509D76"/>
    <w:multiLevelType w:val="hybridMultilevel"/>
    <w:lvl w:ilvl="0">
      <w:lvlJc w:val="left"/>
      <w:lvlText w:val="с"/>
      <w:numFmt w:val="bullet"/>
      <w:start w:val="1"/>
    </w:lvl>
  </w:abstractNum>
  <w:abstractNum w:abstractNumId="237">
    <w:nsid w:val="1AF7F0EA"/>
    <w:multiLevelType w:val="hybridMultilevel"/>
    <w:lvl w:ilvl="0">
      <w:lvlJc w:val="left"/>
      <w:lvlText w:val="В"/>
      <w:numFmt w:val="bullet"/>
      <w:start w:val="1"/>
    </w:lvl>
  </w:abstractNum>
  <w:abstractNum w:abstractNumId="238">
    <w:nsid w:val="4DA32C7E"/>
    <w:multiLevelType w:val="hybridMultilevel"/>
    <w:lvl w:ilvl="0">
      <w:lvlJc w:val="left"/>
      <w:lvlText w:val="%1"/>
      <w:numFmt w:val="decimal"/>
      <w:start w:val="60"/>
    </w:lvl>
  </w:abstractNum>
  <w:abstractNum w:abstractNumId="239">
    <w:nsid w:val="6EC68664"/>
    <w:multiLevelType w:val="hybridMultilevel"/>
    <w:lvl w:ilvl="0">
      <w:lvlJc w:val="left"/>
      <w:lvlText w:val="с"/>
      <w:numFmt w:val="bullet"/>
      <w:start w:val="1"/>
    </w:lvl>
  </w:abstractNum>
  <w:abstractNum w:abstractNumId="240">
    <w:nsid w:val="E0D31FF"/>
    <w:multiLevelType w:val="hybridMultilevel"/>
    <w:lvl w:ilvl="0">
      <w:lvlJc w:val="left"/>
      <w:lvlText w:val="и"/>
      <w:numFmt w:val="bullet"/>
      <w:start w:val="1"/>
    </w:lvl>
  </w:abstractNum>
  <w:abstractNum w:abstractNumId="241">
    <w:nsid w:val="2FD0AD81"/>
    <w:multiLevelType w:val="hybridMultilevel"/>
    <w:lvl w:ilvl="0">
      <w:lvlJc w:val="left"/>
      <w:lvlText w:val="%1"/>
      <w:numFmt w:val="decimal"/>
      <w:start w:val="62"/>
    </w:lvl>
  </w:abstractNum>
  <w:abstractNum w:abstractNumId="242">
    <w:nsid w:val="1978EBEB"/>
    <w:multiLevelType w:val="hybridMultilevel"/>
    <w:lvl w:ilvl="0">
      <w:lvlJc w:val="left"/>
      <w:lvlText w:val="%1."/>
      <w:numFmt w:val="decimal"/>
      <w:start w:val="3"/>
    </w:lvl>
  </w:abstractNum>
  <w:abstractNum w:abstractNumId="243">
    <w:nsid w:val="52C12C61"/>
    <w:multiLevelType w:val="hybridMultilevel"/>
    <w:lvl w:ilvl="0">
      <w:lvlJc w:val="left"/>
      <w:lvlText w:val="к"/>
      <w:numFmt w:val="bullet"/>
      <w:start w:val="1"/>
    </w:lvl>
  </w:abstractNum>
  <w:abstractNum w:abstractNumId="244">
    <w:nsid w:val="4BDD53FD"/>
    <w:multiLevelType w:val="hybridMultilevel"/>
    <w:lvl w:ilvl="0">
      <w:lvlJc w:val="left"/>
      <w:lvlText w:val="В"/>
      <w:numFmt w:val="bullet"/>
      <w:start w:val="1"/>
    </w:lvl>
  </w:abstractNum>
  <w:abstractNum w:abstractNumId="245">
    <w:nsid w:val="569951FE"/>
    <w:multiLevelType w:val="hybridMultilevel"/>
    <w:lvl w:ilvl="0">
      <w:lvlJc w:val="left"/>
      <w:lvlText w:val="%1"/>
      <w:numFmt w:val="decimal"/>
      <w:start w:val="65"/>
    </w:lvl>
  </w:abstractNum>
  <w:abstractNum w:abstractNumId="246">
    <w:nsid w:val="4C54E2C3"/>
    <w:multiLevelType w:val="hybridMultilevel"/>
    <w:lvl w:ilvl="0">
      <w:lvlJc w:val="left"/>
      <w:lvlText w:val="В"/>
      <w:numFmt w:val="bullet"/>
      <w:start w:val="1"/>
    </w:lvl>
  </w:abstractNum>
  <w:abstractNum w:abstractNumId="247">
    <w:nsid w:val="788BD9B"/>
    <w:multiLevelType w:val="hybridMultilevel"/>
    <w:lvl w:ilvl="0">
      <w:lvlJc w:val="left"/>
      <w:lvlText w:val="В"/>
      <w:numFmt w:val="bullet"/>
      <w:start w:val="1"/>
    </w:lvl>
  </w:abstractNum>
  <w:abstractNum w:abstractNumId="248">
    <w:nsid w:val="47CAA567"/>
    <w:multiLevelType w:val="hybridMultilevel"/>
    <w:lvl w:ilvl="0">
      <w:lvlJc w:val="left"/>
      <w:lvlText w:val="и"/>
      <w:numFmt w:val="bullet"/>
      <w:start w:val="1"/>
    </w:lvl>
  </w:abstractNum>
  <w:abstractNum w:abstractNumId="249">
    <w:nsid w:val="48249DBF"/>
    <w:multiLevelType w:val="hybridMultilevel"/>
    <w:lvl w:ilvl="0">
      <w:lvlJc w:val="left"/>
      <w:lvlText w:val="%1"/>
      <w:numFmt w:val="decimal"/>
      <w:start w:val="66"/>
    </w:lvl>
  </w:abstractNum>
  <w:abstractNum w:abstractNumId="250">
    <w:nsid w:val="1F0E5D0D"/>
    <w:multiLevelType w:val="hybridMultilevel"/>
    <w:lvl w:ilvl="0">
      <w:lvlJc w:val="left"/>
      <w:lvlText w:val="с"/>
      <w:numFmt w:val="bullet"/>
      <w:start w:val="1"/>
    </w:lvl>
  </w:abstractNum>
  <w:abstractNum w:abstractNumId="251">
    <w:nsid w:val="26BAAE9"/>
    <w:multiLevelType w:val="hybridMultilevel"/>
    <w:lvl w:ilvl="0">
      <w:lvlJc w:val="left"/>
      <w:lvlText w:val="и"/>
      <w:numFmt w:val="bullet"/>
      <w:start w:val="1"/>
    </w:lvl>
  </w:abstractNum>
  <w:abstractNum w:abstractNumId="252">
    <w:nsid w:val="2C02FE8C"/>
    <w:multiLevelType w:val="hybridMultilevel"/>
    <w:lvl w:ilvl="0">
      <w:lvlJc w:val="left"/>
      <w:lvlText w:val="В"/>
      <w:numFmt w:val="bullet"/>
      <w:start w:val="1"/>
    </w:lvl>
  </w:abstractNum>
  <w:abstractNum w:abstractNumId="253">
    <w:nsid w:val="129517E"/>
    <w:multiLevelType w:val="hybridMultilevel"/>
    <w:lvl w:ilvl="0">
      <w:lvlJc w:val="left"/>
      <w:lvlText w:val="В"/>
      <w:numFmt w:val="bullet"/>
      <w:start w:val="1"/>
    </w:lvl>
  </w:abstractNum>
  <w:abstractNum w:abstractNumId="254">
    <w:nsid w:val="763B8C4E"/>
    <w:multiLevelType w:val="hybridMultilevel"/>
    <w:lvl w:ilvl="0">
      <w:lvlJc w:val="left"/>
      <w:lvlText w:val="и"/>
      <w:numFmt w:val="bullet"/>
      <w:start w:val="1"/>
    </w:lvl>
  </w:abstractNum>
  <w:abstractNum w:abstractNumId="255">
    <w:nsid w:val="4CFB8D32"/>
    <w:multiLevelType w:val="hybridMultilevel"/>
    <w:lvl w:ilvl="0">
      <w:lvlJc w:val="left"/>
      <w:lvlText w:val="с"/>
      <w:numFmt w:val="bullet"/>
      <w:start w:val="1"/>
    </w:lvl>
  </w:abstractNum>
  <w:abstractNum w:abstractNumId="256">
    <w:nsid w:val="62A5D5BD"/>
    <w:multiLevelType w:val="hybridMultilevel"/>
    <w:lvl w:ilvl="0">
      <w:lvlJc w:val="left"/>
      <w:lvlText w:val="в"/>
      <w:numFmt w:val="bullet"/>
      <w:start w:val="1"/>
    </w:lvl>
  </w:abstractNum>
  <w:abstractNum w:abstractNumId="257">
    <w:nsid w:val="718FABF9"/>
    <w:multiLevelType w:val="hybridMultilevel"/>
    <w:lvl w:ilvl="0">
      <w:lvlJc w:val="left"/>
      <w:lvlText w:val="и"/>
      <w:numFmt w:val="bullet"/>
      <w:start w:val="1"/>
    </w:lvl>
  </w:abstractNum>
  <w:abstractNum w:abstractNumId="258">
    <w:nsid w:val="7775797C"/>
    <w:multiLevelType w:val="hybridMultilevel"/>
    <w:lvl w:ilvl="0">
      <w:lvlJc w:val="left"/>
      <w:lvlText w:val="в"/>
      <w:numFmt w:val="bullet"/>
      <w:start w:val="1"/>
    </w:lvl>
  </w:abstractNum>
  <w:abstractNum w:abstractNumId="259">
    <w:nsid w:val="1626FB8C"/>
    <w:multiLevelType w:val="hybridMultilevel"/>
    <w:lvl w:ilvl="0">
      <w:lvlJc w:val="left"/>
      <w:lvlText w:val="В"/>
      <w:numFmt w:val="bullet"/>
      <w:start w:val="1"/>
    </w:lvl>
  </w:abstractNum>
  <w:abstractNum w:abstractNumId="260">
    <w:nsid w:val="3957756A"/>
    <w:multiLevelType w:val="hybridMultilevel"/>
    <w:lvl w:ilvl="0">
      <w:lvlJc w:val="left"/>
      <w:lvlText w:val="в"/>
      <w:numFmt w:val="bullet"/>
      <w:start w:val="1"/>
    </w:lvl>
  </w:abstractNum>
  <w:abstractNum w:abstractNumId="261">
    <w:nsid w:val="3E6DA1C7"/>
    <w:multiLevelType w:val="hybridMultilevel"/>
    <w:lvl w:ilvl="0">
      <w:lvlJc w:val="left"/>
      <w:lvlText w:val="к"/>
      <w:numFmt w:val="bullet"/>
      <w:start w:val="1"/>
    </w:lvl>
  </w:abstractNum>
  <w:abstractNum w:abstractNumId="262">
    <w:nsid w:val="65CA235B"/>
    <w:multiLevelType w:val="hybridMultilevel"/>
    <w:lvl w:ilvl="0">
      <w:lvlJc w:val="left"/>
      <w:lvlText w:val="в"/>
      <w:numFmt w:val="bullet"/>
      <w:start w:val="1"/>
    </w:lvl>
  </w:abstractNum>
  <w:abstractNum w:abstractNumId="263">
    <w:nsid w:val="51CB0DA4"/>
    <w:multiLevelType w:val="hybridMultilevel"/>
    <w:lvl w:ilvl="0">
      <w:lvlJc w:val="left"/>
      <w:lvlText w:val="В"/>
      <w:numFmt w:val="bullet"/>
      <w:start w:val="1"/>
    </w:lvl>
  </w:abstractNum>
  <w:abstractNum w:abstractNumId="264">
    <w:nsid w:val="7B9B743C"/>
    <w:multiLevelType w:val="hybridMultilevel"/>
    <w:lvl w:ilvl="0">
      <w:lvlJc w:val="left"/>
      <w:lvlText w:val="и"/>
      <w:numFmt w:val="bullet"/>
      <w:start w:val="1"/>
    </w:lvl>
  </w:abstractNum>
  <w:abstractNum w:abstractNumId="265">
    <w:nsid w:val="13E21002"/>
    <w:multiLevelType w:val="hybridMultilevel"/>
    <w:lvl w:ilvl="0">
      <w:lvlJc w:val="left"/>
      <w:lvlText w:val="а"/>
      <w:numFmt w:val="bullet"/>
      <w:start w:val="1"/>
    </w:lvl>
  </w:abstractNum>
  <w:abstractNum w:abstractNumId="266">
    <w:nsid w:val="257D63F4"/>
    <w:multiLevelType w:val="hybridMultilevel"/>
    <w:lvl w:ilvl="0">
      <w:lvlJc w:val="left"/>
      <w:lvlText w:val="с"/>
      <w:numFmt w:val="bullet"/>
      <w:start w:val="1"/>
    </w:lvl>
  </w:abstractNum>
  <w:abstractNum w:abstractNumId="267">
    <w:nsid w:val="70EC11B2"/>
    <w:multiLevelType w:val="hybridMultilevel"/>
    <w:lvl w:ilvl="0">
      <w:lvlJc w:val="left"/>
      <w:lvlText w:val="и"/>
      <w:numFmt w:val="bullet"/>
      <w:start w:val="1"/>
    </w:lvl>
  </w:abstractNum>
  <w:abstractNum w:abstractNumId="268">
    <w:nsid w:val="2EDA00ED"/>
    <w:multiLevelType w:val="hybridMultilevel"/>
    <w:lvl w:ilvl="0">
      <w:lvlJc w:val="left"/>
      <w:lvlText w:val="с"/>
      <w:numFmt w:val="bullet"/>
      <w:start w:val="1"/>
    </w:lvl>
  </w:abstractNum>
  <w:abstractNum w:abstractNumId="269">
    <w:nsid w:val="73209072"/>
    <w:multiLevelType w:val="hybridMultilevel"/>
    <w:lvl w:ilvl="0">
      <w:lvlJc w:val="left"/>
      <w:lvlText w:val="и"/>
      <w:numFmt w:val="bullet"/>
      <w:start w:val="1"/>
    </w:lvl>
  </w:abstractNum>
  <w:abstractNum w:abstractNumId="270">
    <w:nsid w:val="5FB29816"/>
    <w:multiLevelType w:val="hybridMultilevel"/>
    <w:lvl w:ilvl="0">
      <w:lvlJc w:val="left"/>
      <w:lvlText w:val="В"/>
      <w:numFmt w:val="bullet"/>
      <w:start w:val="1"/>
    </w:lvl>
  </w:abstractNum>
  <w:abstractNum w:abstractNumId="271">
    <w:nsid w:val="3CE732EC"/>
    <w:multiLevelType w:val="hybridMultilevel"/>
    <w:lvl w:ilvl="0">
      <w:lvlJc w:val="left"/>
      <w:lvlText w:val="и"/>
      <w:numFmt w:val="bullet"/>
      <w:start w:val="1"/>
    </w:lvl>
  </w:abstractNum>
  <w:abstractNum w:abstractNumId="272">
    <w:nsid w:val="22F13DF3"/>
    <w:multiLevelType w:val="hybridMultilevel"/>
    <w:lvl w:ilvl="0">
      <w:lvlJc w:val="left"/>
      <w:lvlText w:val="С"/>
      <w:numFmt w:val="bullet"/>
      <w:start w:val="1"/>
    </w:lvl>
  </w:abstractNum>
  <w:abstractNum w:abstractNumId="273">
    <w:nsid w:val="792B8401"/>
    <w:multiLevelType w:val="hybridMultilevel"/>
    <w:lvl w:ilvl="0">
      <w:lvlJc w:val="left"/>
      <w:lvlText w:val="В"/>
      <w:numFmt w:val="bullet"/>
      <w:start w:val="1"/>
    </w:lvl>
  </w:abstractNum>
  <w:abstractNum w:abstractNumId="274">
    <w:nsid w:val="FA85F4D"/>
    <w:multiLevelType w:val="hybridMultilevel"/>
    <w:lvl w:ilvl="0">
      <w:lvlJc w:val="left"/>
      <w:lvlText w:val="и"/>
      <w:numFmt w:val="bullet"/>
      <w:start w:val="1"/>
    </w:lvl>
  </w:abstractNum>
  <w:abstractNum w:abstractNumId="275">
    <w:nsid w:val="6ECE91F0"/>
    <w:multiLevelType w:val="hybridMultilevel"/>
    <w:lvl w:ilvl="0">
      <w:lvlJc w:val="left"/>
      <w:lvlText w:val="%1."/>
      <w:numFmt w:val="decimal"/>
      <w:start w:val="3"/>
    </w:lvl>
  </w:abstractNum>
  <w:abstractNum w:abstractNumId="276">
    <w:nsid w:val="4FC4D600"/>
    <w:multiLevelType w:val="hybridMultilevel"/>
    <w:lvl w:ilvl="0">
      <w:lvlJc w:val="left"/>
      <w:lvlText w:val="с"/>
      <w:numFmt w:val="bullet"/>
      <w:start w:val="1"/>
    </w:lvl>
  </w:abstractNum>
  <w:abstractNum w:abstractNumId="277">
    <w:nsid w:val="5BFD4210"/>
    <w:multiLevelType w:val="hybridMultilevel"/>
    <w:lvl w:ilvl="0">
      <w:lvlJc w:val="left"/>
      <w:lvlText w:val="и"/>
      <w:numFmt w:val="bullet"/>
      <w:start w:val="1"/>
    </w:lvl>
  </w:abstractNum>
  <w:abstractNum w:abstractNumId="278">
    <w:nsid w:val="76574F8B"/>
    <w:multiLevelType w:val="hybridMultilevel"/>
    <w:lvl w:ilvl="0">
      <w:lvlJc w:val="left"/>
      <w:lvlText w:val="в"/>
      <w:numFmt w:val="bullet"/>
      <w:start w:val="1"/>
    </w:lvl>
  </w:abstractNum>
  <w:abstractNum w:abstractNumId="279">
    <w:nsid w:val="178F7B67"/>
    <w:multiLevelType w:val="hybridMultilevel"/>
    <w:lvl w:ilvl="0">
      <w:lvlJc w:val="left"/>
      <w:lvlText w:val="В"/>
      <w:numFmt w:val="bullet"/>
      <w:start w:val="1"/>
    </w:lvl>
  </w:abstractNum>
  <w:abstractNum w:abstractNumId="280">
    <w:nsid w:val="2421DFCF"/>
    <w:multiLevelType w:val="hybridMultilevel"/>
    <w:lvl w:ilvl="0">
      <w:lvlJc w:val="left"/>
      <w:lvlText w:val="%1"/>
      <w:numFmt w:val="decimal"/>
      <w:start w:val="67"/>
    </w:lvl>
  </w:abstractNum>
  <w:abstractNum w:abstractNumId="281">
    <w:nsid w:val="1565AC99"/>
    <w:multiLevelType w:val="hybridMultilevel"/>
    <w:lvl w:ilvl="0">
      <w:lvlJc w:val="left"/>
      <w:lvlText w:val="С"/>
      <w:numFmt w:val="bullet"/>
      <w:start w:val="1"/>
    </w:lvl>
  </w:abstractNum>
  <w:abstractNum w:abstractNumId="282">
    <w:nsid w:val="19FB2650"/>
    <w:multiLevelType w:val="hybridMultilevel"/>
    <w:lvl w:ilvl="0">
      <w:lvlJc w:val="left"/>
      <w:lvlText w:val="и"/>
      <w:numFmt w:val="bullet"/>
      <w:start w:val="1"/>
    </w:lvl>
  </w:abstractNum>
  <w:abstractNum w:abstractNumId="283">
    <w:nsid w:val="5024DE5B"/>
    <w:multiLevelType w:val="hybridMultilevel"/>
    <w:lvl w:ilvl="0">
      <w:lvlJc w:val="left"/>
      <w:lvlText w:val="в"/>
      <w:numFmt w:val="bullet"/>
      <w:start w:val="1"/>
    </w:lvl>
  </w:abstractNum>
  <w:abstractNum w:abstractNumId="284">
    <w:nsid w:val="168EFE17"/>
    <w:multiLevelType w:val="hybridMultilevel"/>
    <w:lvl w:ilvl="0">
      <w:lvlJc w:val="left"/>
      <w:lvlText w:val="и"/>
      <w:numFmt w:val="bullet"/>
      <w:start w:val="1"/>
    </w:lvl>
  </w:abstractNum>
  <w:abstractNum w:abstractNumId="285">
    <w:nsid w:val="1036B29F"/>
    <w:multiLevelType w:val="hybridMultilevel"/>
    <w:lvl w:ilvl="0">
      <w:lvlJc w:val="left"/>
      <w:lvlText w:val="В"/>
      <w:numFmt w:val="bullet"/>
      <w:start w:val="1"/>
    </w:lvl>
  </w:abstractNum>
  <w:abstractNum w:abstractNumId="286">
    <w:nsid w:val="1D206B8E"/>
    <w:multiLevelType w:val="hybridMultilevel"/>
    <w:lvl w:ilvl="0">
      <w:lvlJc w:val="left"/>
      <w:lvlText w:val="с"/>
      <w:numFmt w:val="bullet"/>
      <w:start w:val="1"/>
    </w:lvl>
  </w:abstractNum>
  <w:abstractNum w:abstractNumId="287">
    <w:nsid w:val="7934D3D4"/>
    <w:multiLevelType w:val="hybridMultilevel"/>
    <w:lvl w:ilvl="0">
      <w:lvlJc w:val="left"/>
      <w:lvlText w:val="%1."/>
      <w:numFmt w:val="decimal"/>
      <w:start w:val="3"/>
    </w:lvl>
  </w:abstractNum>
  <w:abstractNum w:abstractNumId="288">
    <w:nsid w:val="1C65E98"/>
    <w:multiLevelType w:val="hybridMultilevel"/>
    <w:lvl w:ilvl="0">
      <w:lvlJc w:val="left"/>
      <w:lvlText w:val="В"/>
      <w:numFmt w:val="bullet"/>
      <w:start w:val="1"/>
    </w:lvl>
  </w:abstractNum>
  <w:abstractNum w:abstractNumId="289">
    <w:nsid w:val="1495E50A"/>
    <w:multiLevelType w:val="hybridMultilevel"/>
    <w:lvl w:ilvl="0">
      <w:lvlJc w:val="left"/>
      <w:lvlText w:val="и"/>
      <w:numFmt w:val="bullet"/>
      <w:start w:val="1"/>
    </w:lvl>
  </w:abstractNum>
  <w:abstractNum w:abstractNumId="290">
    <w:nsid w:val="F5BCF61"/>
    <w:multiLevelType w:val="hybridMultilevel"/>
    <w:lvl w:ilvl="0">
      <w:lvlJc w:val="left"/>
      <w:lvlText w:val="к"/>
      <w:numFmt w:val="bullet"/>
      <w:start w:val="1"/>
    </w:lvl>
  </w:abstractNum>
  <w:abstractNum w:abstractNumId="291">
    <w:nsid w:val="3B1DD403"/>
    <w:multiLevelType w:val="hybridMultilevel"/>
    <w:lvl w:ilvl="0">
      <w:lvlJc w:val="left"/>
      <w:lvlText w:val="В"/>
      <w:numFmt w:val="bullet"/>
      <w:start w:val="1"/>
    </w:lvl>
  </w:abstractNum>
  <w:abstractNum w:abstractNumId="292">
    <w:nsid w:val="530386D1"/>
    <w:multiLevelType w:val="hybridMultilevel"/>
    <w:lvl w:ilvl="0">
      <w:lvlJc w:val="left"/>
      <w:lvlText w:val="в"/>
      <w:numFmt w:val="bullet"/>
      <w:start w:val="1"/>
    </w:lvl>
  </w:abstractNum>
  <w:abstractNum w:abstractNumId="293">
    <w:nsid w:val="7525F2BC"/>
    <w:multiLevelType w:val="hybridMultilevel"/>
    <w:lvl w:ilvl="0">
      <w:lvlJc w:val="left"/>
      <w:lvlText w:val="В"/>
      <w:numFmt w:val="bullet"/>
      <w:start w:val="1"/>
    </w:lvl>
  </w:abstractNum>
  <w:abstractNum w:abstractNumId="294">
    <w:nsid w:val="CE8E1A7"/>
    <w:multiLevelType w:val="hybridMultilevel"/>
    <w:lvl w:ilvl="0">
      <w:lvlJc w:val="left"/>
      <w:lvlText w:val="В"/>
      <w:numFmt w:val="bullet"/>
      <w:start w:val="1"/>
    </w:lvl>
  </w:abstractNum>
  <w:abstractNum w:abstractNumId="295">
    <w:nsid w:val="4E9EFB0D"/>
    <w:multiLevelType w:val="hybridMultilevel"/>
    <w:lvl w:ilvl="0">
      <w:lvlJc w:val="left"/>
      <w:lvlText w:val="к"/>
      <w:numFmt w:val="bullet"/>
      <w:start w:val="1"/>
    </w:lvl>
  </w:abstractNum>
  <w:abstractNum w:abstractNumId="296">
    <w:nsid w:val="90802BE"/>
    <w:multiLevelType w:val="hybridMultilevel"/>
    <w:lvl w:ilvl="0">
      <w:lvlJc w:val="left"/>
      <w:lvlText w:val="%1"/>
      <w:numFmt w:val="decimal"/>
      <w:start w:val="68"/>
    </w:lvl>
  </w:abstractNum>
  <w:abstractNum w:abstractNumId="297">
    <w:nsid w:val="3266459B"/>
    <w:multiLevelType w:val="hybridMultilevel"/>
    <w:lvl w:ilvl="0">
      <w:lvlJc w:val="left"/>
      <w:lvlText w:val="с"/>
      <w:numFmt w:val="bullet"/>
      <w:start w:val="1"/>
    </w:lvl>
  </w:abstractNum>
  <w:abstractNum w:abstractNumId="298">
    <w:nsid w:val="3F8B0CBF"/>
    <w:multiLevelType w:val="hybridMultilevel"/>
    <w:lvl w:ilvl="0">
      <w:lvlJc w:val="left"/>
      <w:lvlText w:val="В"/>
      <w:numFmt w:val="bullet"/>
      <w:start w:val="1"/>
    </w:lvl>
  </w:abstractNum>
  <w:abstractNum w:abstractNumId="299">
    <w:nsid w:val="37E203AB"/>
    <w:multiLevelType w:val="hybridMultilevel"/>
    <w:lvl w:ilvl="0">
      <w:lvlJc w:val="left"/>
      <w:lvlText w:val="и"/>
      <w:numFmt w:val="bullet"/>
      <w:start w:val="1"/>
    </w:lvl>
  </w:abstractNum>
  <w:abstractNum w:abstractNumId="300">
    <w:nsid w:val="2586D60E"/>
    <w:multiLevelType w:val="hybridMultilevel"/>
    <w:lvl w:ilvl="0">
      <w:lvlJc w:val="left"/>
      <w:lvlText w:val="и"/>
      <w:numFmt w:val="bullet"/>
      <w:start w:val="1"/>
    </w:lvl>
  </w:abstractNum>
  <w:abstractNum w:abstractNumId="301">
    <w:nsid w:val="1F3DA4D5"/>
    <w:multiLevelType w:val="hybridMultilevel"/>
    <w:lvl w:ilvl="0">
      <w:lvlJc w:val="left"/>
      <w:lvlText w:val="%1"/>
      <w:numFmt w:val="decimal"/>
      <w:start w:val="74"/>
    </w:lvl>
  </w:abstractNum>
  <w:abstractNum w:abstractNumId="302">
    <w:nsid w:val="74C93698"/>
    <w:multiLevelType w:val="hybridMultilevel"/>
    <w:lvl w:ilvl="0">
      <w:lvlJc w:val="left"/>
      <w:lvlText w:val="и"/>
      <w:numFmt w:val="bullet"/>
      <w:start w:val="1"/>
    </w:lvl>
  </w:abstractNum>
  <w:abstractNum w:abstractNumId="303">
    <w:nsid w:val="48781401"/>
    <w:multiLevelType w:val="hybridMultilevel"/>
    <w:lvl w:ilvl="0">
      <w:lvlJc w:val="left"/>
      <w:lvlText w:val="и"/>
      <w:numFmt w:val="bullet"/>
      <w:start w:val="1"/>
    </w:lvl>
  </w:abstractNum>
  <w:abstractNum w:abstractNumId="304">
    <w:nsid w:val="186928D6"/>
    <w:multiLevelType w:val="hybridMultilevel"/>
    <w:lvl w:ilvl="0">
      <w:lvlJc w:val="left"/>
      <w:lvlText w:val="и"/>
      <w:numFmt w:val="bullet"/>
      <w:start w:val="1"/>
    </w:lvl>
  </w:abstractNum>
  <w:abstractNum w:abstractNumId="305">
    <w:nsid w:val="47195E5"/>
    <w:multiLevelType w:val="hybridMultilevel"/>
    <w:lvl w:ilvl="0">
      <w:lvlJc w:val="left"/>
      <w:lvlText w:val="и"/>
      <w:numFmt w:val="bullet"/>
      <w:start w:val="1"/>
    </w:lvl>
  </w:abstractNum>
  <w:abstractNum w:abstractNumId="306">
    <w:nsid w:val="3746A5F2"/>
    <w:multiLevelType w:val="hybridMultilevel"/>
    <w:lvl w:ilvl="0">
      <w:lvlJc w:val="left"/>
      <w:lvlText w:val="в"/>
      <w:numFmt w:val="bullet"/>
      <w:start w:val="1"/>
    </w:lvl>
  </w:abstractNum>
  <w:abstractNum w:abstractNumId="307">
    <w:nsid w:val="682DFED6"/>
    <w:multiLevelType w:val="hybridMultilevel"/>
    <w:lvl w:ilvl="0">
      <w:lvlJc w:val="left"/>
      <w:lvlText w:val="В"/>
      <w:numFmt w:val="bullet"/>
      <w:start w:val="1"/>
    </w:lvl>
  </w:abstractNum>
  <w:abstractNum w:abstractNumId="308">
    <w:nsid w:val="606ED7F6"/>
    <w:multiLevelType w:val="hybridMultilevel"/>
    <w:lvl w:ilvl="0">
      <w:lvlJc w:val="left"/>
      <w:lvlText w:val="В"/>
      <w:numFmt w:val="bullet"/>
      <w:start w:val="1"/>
    </w:lvl>
  </w:abstractNum>
  <w:abstractNum w:abstractNumId="309">
    <w:nsid w:val="2D9DF57D"/>
    <w:multiLevelType w:val="hybridMultilevel"/>
    <w:lvl w:ilvl="0">
      <w:lvlJc w:val="left"/>
      <w:lvlText w:val="%1"/>
      <w:numFmt w:val="decimal"/>
      <w:start w:val="1"/>
    </w:lvl>
  </w:abstractNum>
  <w:abstractNum w:abstractNumId="310">
    <w:nsid w:val="7FBD7A3E"/>
    <w:multiLevelType w:val="hybridMultilevel"/>
    <w:lvl w:ilvl="0">
      <w:lvlJc w:val="left"/>
      <w:lvlText w:val="и"/>
      <w:numFmt w:val="bullet"/>
      <w:start w:val="1"/>
    </w:lvl>
  </w:abstractNum>
  <w:abstractNum w:abstractNumId="311">
    <w:nsid w:val="490B7C5"/>
    <w:multiLevelType w:val="hybridMultilevel"/>
    <w:lvl w:ilvl="0">
      <w:lvlJc w:val="left"/>
      <w:lvlText w:val="и"/>
      <w:numFmt w:val="bullet"/>
      <w:start w:val="1"/>
    </w:lvl>
  </w:abstractNum>
  <w:abstractNum w:abstractNumId="312">
    <w:nsid w:val="4303A216"/>
    <w:multiLevelType w:val="hybridMultilevel"/>
    <w:lvl w:ilvl="0">
      <w:lvlJc w:val="left"/>
      <w:lvlText w:val="и"/>
      <w:numFmt w:val="bullet"/>
      <w:start w:val="1"/>
    </w:lvl>
  </w:abstractNum>
  <w:abstractNum w:abstractNumId="313">
    <w:nsid w:val="19B8A08E"/>
    <w:multiLevelType w:val="hybridMultilevel"/>
    <w:lvl w:ilvl="0">
      <w:lvlJc w:val="left"/>
      <w:lvlText w:val="в"/>
      <w:numFmt w:val="bullet"/>
      <w:start w:val="1"/>
    </w:lvl>
  </w:abstractNum>
  <w:abstractNum w:abstractNumId="314">
    <w:nsid w:val="54B59621"/>
    <w:multiLevelType w:val="hybridMultilevel"/>
    <w:lvl w:ilvl="0">
      <w:lvlJc w:val="left"/>
      <w:lvlText w:val="у"/>
      <w:numFmt w:val="bullet"/>
      <w:start w:val="1"/>
    </w:lvl>
  </w:abstractNum>
  <w:abstractNum w:abstractNumId="315">
    <w:nsid w:val="5992A02E"/>
    <w:multiLevelType w:val="hybridMultilevel"/>
    <w:lvl w:ilvl="0">
      <w:lvlJc w:val="left"/>
      <w:lvlText w:val="С"/>
      <w:numFmt w:val="bullet"/>
      <w:start w:val="1"/>
    </w:lvl>
    <w:lvl w:ilvl="1">
      <w:lvlJc w:val="left"/>
      <w:lvlText w:val="*"/>
      <w:numFmt w:val="bullet"/>
      <w:start w:val="1"/>
    </w:lvl>
  </w:abstractNum>
  <w:abstractNum w:abstractNumId="316">
    <w:nsid w:val="29EF532D"/>
    <w:multiLevelType w:val="hybridMultilevel"/>
    <w:lvl w:ilvl="0">
      <w:lvlJc w:val="left"/>
      <w:lvlText w:val="С"/>
      <w:numFmt w:val="bullet"/>
      <w:start w:val="1"/>
    </w:lvl>
    <w:lvl w:ilvl="1">
      <w:lvlJc w:val="left"/>
      <w:lvlText w:val="**"/>
      <w:numFmt w:val="bullet"/>
      <w:start w:val="1"/>
    </w:lvl>
  </w:abstractNum>
  <w:abstractNum w:abstractNumId="317">
    <w:nsid w:val="71D601AF"/>
    <w:multiLevelType w:val="hybridMultilevel"/>
    <w:lvl w:ilvl="0">
      <w:lvlJc w:val="left"/>
      <w:lvlText w:val="в"/>
      <w:numFmt w:val="bullet"/>
      <w:start w:val="1"/>
    </w:lvl>
  </w:abstractNum>
  <w:abstractNum w:abstractNumId="318">
    <w:nsid w:val="52C77402"/>
    <w:multiLevelType w:val="hybridMultilevel"/>
    <w:lvl w:ilvl="0">
      <w:lvlJc w:val="left"/>
      <w:lvlText w:val="и"/>
      <w:numFmt w:val="bullet"/>
      <w:start w:val="1"/>
    </w:lvl>
    <w:lvl w:ilvl="1">
      <w:lvlJc w:val="left"/>
      <w:lvlText w:val="и"/>
      <w:numFmt w:val="bullet"/>
      <w:start w:val="1"/>
    </w:lvl>
  </w:abstractNum>
  <w:abstractNum w:abstractNumId="319">
    <w:nsid w:val="2BB5B1C6"/>
    <w:multiLevelType w:val="hybridMultilevel"/>
    <w:lvl w:ilvl="0">
      <w:lvlJc w:val="left"/>
      <w:lvlText w:val="%1."/>
      <w:numFmt w:val="decimal"/>
      <w:start w:val="1"/>
    </w:lvl>
  </w:abstractNum>
  <w:abstractNum w:abstractNumId="320">
    <w:nsid w:val="66BE6B9"/>
    <w:multiLevelType w:val="hybridMultilevel"/>
    <w:lvl w:ilvl="0">
      <w:lvlJc w:val="left"/>
      <w:lvlText w:val="В"/>
      <w:numFmt w:val="bullet"/>
      <w:start w:val="1"/>
    </w:lvl>
  </w:abstractNum>
  <w:abstractNum w:abstractNumId="321">
    <w:nsid w:val="62234363"/>
    <w:multiLevelType w:val="hybridMultilevel"/>
    <w:lvl w:ilvl="0">
      <w:lvlJc w:val="left"/>
      <w:lvlText w:val="и"/>
      <w:numFmt w:val="bullet"/>
      <w:start w:val="1"/>
    </w:lvl>
  </w:abstractNum>
  <w:abstractNum w:abstractNumId="322">
    <w:nsid w:val="66D385C9"/>
    <w:multiLevelType w:val="hybridMultilevel"/>
    <w:lvl w:ilvl="0">
      <w:lvlJc w:val="left"/>
      <w:lvlText w:val="и"/>
      <w:numFmt w:val="bullet"/>
      <w:start w:val="1"/>
    </w:lvl>
  </w:abstractNum>
  <w:abstractNum w:abstractNumId="323">
    <w:nsid w:val="596F6D8A"/>
    <w:multiLevelType w:val="hybridMultilevel"/>
    <w:lvl w:ilvl="0">
      <w:lvlJc w:val="left"/>
      <w:lvlText w:val="%1"/>
      <w:numFmt w:val="decimal"/>
      <w:start w:val="1"/>
    </w:lvl>
  </w:abstractNum>
  <w:abstractNum w:abstractNumId="324">
    <w:nsid w:val="5749361F"/>
    <w:multiLevelType w:val="hybridMultilevel"/>
    <w:lvl w:ilvl="0">
      <w:lvlJc w:val="left"/>
      <w:lvlText w:val="и"/>
      <w:numFmt w:val="bullet"/>
      <w:start w:val="1"/>
    </w:lvl>
  </w:abstractNum>
  <w:abstractNum w:abstractNumId="325">
    <w:nsid w:val="73BC6770"/>
    <w:multiLevelType w:val="hybridMultilevel"/>
    <w:lvl w:ilvl="0">
      <w:lvlJc w:val="left"/>
      <w:lvlText w:val="с"/>
      <w:numFmt w:val="bullet"/>
      <w:start w:val="1"/>
    </w:lvl>
  </w:abstractNum>
  <w:abstractNum w:abstractNumId="326">
    <w:nsid w:val="280E6897"/>
    <w:multiLevelType w:val="hybridMultilevel"/>
    <w:lvl w:ilvl="0">
      <w:lvlJc w:val="left"/>
      <w:lvlText w:val="•"/>
      <w:numFmt w:val="bullet"/>
      <w:start w:val="1"/>
    </w:lvl>
  </w:abstractNum>
  <w:abstractNum w:abstractNumId="327">
    <w:nsid w:val="605138DE"/>
    <w:multiLevelType w:val="hybridMultilevel"/>
    <w:lvl w:ilvl="0">
      <w:lvlJc w:val="left"/>
      <w:lvlText w:val="в"/>
      <w:numFmt w:val="bullet"/>
      <w:start w:val="1"/>
    </w:lvl>
  </w:abstractNum>
  <w:abstractNum w:abstractNumId="328">
    <w:nsid w:val="2622AD0C"/>
    <w:multiLevelType w:val="hybridMultilevel"/>
    <w:lvl w:ilvl="0">
      <w:lvlJc w:val="left"/>
      <w:lvlText w:val="2"/>
      <w:numFmt w:val="bullet"/>
      <w:start w:val="1"/>
    </w:lvl>
  </w:abstractNum>
  <w:abstractNum w:abstractNumId="329">
    <w:nsid w:val="67997556"/>
    <w:multiLevelType w:val="hybridMultilevel"/>
    <w:lvl w:ilvl="0">
      <w:lvlJc w:val="left"/>
      <w:lvlText w:val="3"/>
      <w:numFmt w:val="bullet"/>
      <w:start w:val="1"/>
    </w:lvl>
  </w:abstractNum>
  <w:abstractNum w:abstractNumId="330">
    <w:nsid w:val="18333C89"/>
    <w:multiLevelType w:val="hybridMultilevel"/>
    <w:lvl w:ilvl="0">
      <w:lvlJc w:val="left"/>
      <w:lvlText w:val="5"/>
      <w:numFmt w:val="bullet"/>
      <w:start w:val="1"/>
    </w:lvl>
  </w:abstractNum>
  <w:abstractNum w:abstractNumId="331">
    <w:nsid w:val="4BA9831A"/>
    <w:multiLevelType w:val="hybridMultilevel"/>
    <w:lvl w:ilvl="0">
      <w:lvlJc w:val="left"/>
      <w:lvlText w:val="6"/>
      <w:numFmt w:val="bullet"/>
      <w:start w:val="1"/>
    </w:lvl>
  </w:abstractNum>
  <w:abstractNum w:abstractNumId="332">
    <w:nsid w:val="6D71A2B"/>
    <w:multiLevelType w:val="hybridMultilevel"/>
    <w:lvl w:ilvl="0">
      <w:lvlJc w:val="left"/>
      <w:lvlText w:val="7"/>
      <w:numFmt w:val="bullet"/>
      <w:start w:val="1"/>
    </w:lvl>
  </w:abstractNum>
  <w:abstractNum w:abstractNumId="333">
    <w:nsid w:val="CFC7321"/>
    <w:multiLevelType w:val="hybridMultilevel"/>
    <w:lvl w:ilvl="0">
      <w:lvlJc w:val="left"/>
      <w:lvlText w:val="8"/>
      <w:numFmt w:val="bullet"/>
      <w:start w:val="1"/>
    </w:lvl>
  </w:abstractNum>
  <w:abstractNum w:abstractNumId="334">
    <w:nsid w:val="1421971B"/>
    <w:multiLevelType w:val="hybridMultilevel"/>
    <w:lvl w:ilvl="0">
      <w:lvlJc w:val="left"/>
      <w:lvlText w:val="9"/>
      <w:numFmt w:val="bullet"/>
      <w:start w:val="1"/>
    </w:lvl>
  </w:abstractNum>
  <w:abstractNum w:abstractNumId="335">
    <w:nsid w:val="1F404301"/>
    <w:multiLevelType w:val="hybridMultilevel"/>
    <w:lvl w:ilvl="0">
      <w:lvlJc w:val="left"/>
      <w:lvlText w:val="в"/>
      <w:numFmt w:val="bullet"/>
      <w:start w:val="1"/>
    </w:lvl>
    <w:lvl w:ilvl="1">
      <w:lvlJc w:val="left"/>
      <w:lvlText w:val="с"/>
      <w:numFmt w:val="bullet"/>
      <w:start w:val="1"/>
    </w:lvl>
  </w:abstractNum>
  <w:abstractNum w:abstractNumId="336">
    <w:nsid w:val="116E0907"/>
    <w:multiLevelType w:val="hybridMultilevel"/>
    <w:lvl w:ilvl="0">
      <w:lvlJc w:val="left"/>
      <w:lvlText w:val="•"/>
      <w:numFmt w:val="bullet"/>
      <w:start w:val="1"/>
    </w:lvl>
  </w:abstractNum>
  <w:abstractNum w:abstractNumId="337">
    <w:nsid w:val="4B683D0D"/>
    <w:multiLevelType w:val="hybridMultilevel"/>
    <w:lvl w:ilvl="0">
      <w:lvlJc w:val="left"/>
      <w:lvlText w:val="%1"/>
      <w:numFmt w:val="decimal"/>
      <w:start w:val="11"/>
    </w:lvl>
  </w:abstractNum>
  <w:abstractNum w:abstractNumId="338">
    <w:nsid w:val="76E41D8"/>
    <w:multiLevelType w:val="hybridMultilevel"/>
    <w:lvl w:ilvl="0">
      <w:lvlJc w:val="left"/>
      <w:lvlText w:val="•"/>
      <w:numFmt w:val="bullet"/>
      <w:start w:val="1"/>
    </w:lvl>
  </w:abstractNum>
  <w:abstractNum w:abstractNumId="339">
    <w:nsid w:val="71DCE0FD"/>
    <w:multiLevelType w:val="hybridMultilevel"/>
    <w:lvl w:ilvl="0">
      <w:lvlJc w:val="left"/>
      <w:lvlText w:val="•"/>
      <w:numFmt w:val="bullet"/>
      <w:start w:val="1"/>
    </w:lvl>
  </w:abstractNum>
  <w:abstractNum w:abstractNumId="340">
    <w:nsid w:val="7906328B"/>
    <w:multiLevelType w:val="hybridMultilevel"/>
    <w:lvl w:ilvl="0">
      <w:lvlJc w:val="left"/>
      <w:lvlText w:val="•"/>
      <w:numFmt w:val="bullet"/>
      <w:start w:val="1"/>
    </w:lvl>
  </w:abstractNum>
  <w:abstractNum w:abstractNumId="341">
    <w:nsid w:val="72BBC16"/>
    <w:multiLevelType w:val="hybridMultilevel"/>
    <w:lvl w:ilvl="0">
      <w:lvlJc w:val="left"/>
      <w:lvlText w:val="%1"/>
      <w:numFmt w:val="decimal"/>
      <w:start w:val="18"/>
    </w:lvl>
  </w:abstractNum>
  <w:abstractNum w:abstractNumId="342">
    <w:nsid w:val="766D98C2"/>
    <w:multiLevelType w:val="hybridMultilevel"/>
    <w:lvl w:ilvl="0">
      <w:lvlJc w:val="left"/>
      <w:lvlText w:val="•"/>
      <w:numFmt w:val="bullet"/>
      <w:start w:val="1"/>
    </w:lvl>
  </w:abstractNum>
  <w:abstractNum w:abstractNumId="343">
    <w:nsid w:val="3C09D4A1"/>
    <w:multiLevelType w:val="hybridMultilevel"/>
    <w:lvl w:ilvl="0">
      <w:lvlJc w:val="left"/>
      <w:lvlText w:val="•"/>
      <w:numFmt w:val="bullet"/>
      <w:start w:val="1"/>
    </w:lvl>
  </w:abstractNum>
  <w:abstractNum w:abstractNumId="344">
    <w:nsid w:val="20E45CA4"/>
    <w:multiLevelType w:val="hybridMultilevel"/>
    <w:lvl w:ilvl="0">
      <w:lvlJc w:val="left"/>
      <w:lvlText w:val="%1"/>
      <w:numFmt w:val="decimal"/>
      <w:start w:val="28"/>
    </w:lvl>
  </w:abstractNum>
  <w:abstractNum w:abstractNumId="345">
    <w:nsid w:val="4B232EE3"/>
    <w:multiLevelType w:val="hybridMultilevel"/>
    <w:lvl w:ilvl="0">
      <w:lvlJc w:val="left"/>
      <w:lvlText w:val="•"/>
      <w:numFmt w:val="bullet"/>
      <w:start w:val="1"/>
    </w:lvl>
  </w:abstractNum>
  <w:abstractNum w:abstractNumId="346">
    <w:nsid w:val="159C74CF"/>
    <w:multiLevelType w:val="hybridMultilevel"/>
    <w:lvl w:ilvl="0">
      <w:lvlJc w:val="left"/>
      <w:lvlText w:val="•"/>
      <w:numFmt w:val="bullet"/>
      <w:start w:val="1"/>
    </w:lvl>
  </w:abstractNum>
  <w:abstractNum w:abstractNumId="347">
    <w:nsid w:val="4AD3AFD2"/>
    <w:multiLevelType w:val="hybridMultilevel"/>
    <w:lvl w:ilvl="0">
      <w:lvlJc w:val="left"/>
      <w:lvlText w:val="и"/>
      <w:numFmt w:val="bullet"/>
      <w:start w:val="1"/>
    </w:lvl>
  </w:abstractNum>
  <w:abstractNum w:abstractNumId="348">
    <w:nsid w:val="3CF93092"/>
    <w:multiLevelType w:val="hybridMultilevel"/>
    <w:lvl w:ilvl="0">
      <w:lvlJc w:val="left"/>
      <w:lvlText w:val="•"/>
      <w:numFmt w:val="bullet"/>
      <w:start w:val="1"/>
    </w:lvl>
  </w:abstractNum>
  <w:abstractNum w:abstractNumId="349">
    <w:nsid w:val="6863E8D2"/>
    <w:multiLevelType w:val="hybridMultilevel"/>
    <w:lvl w:ilvl="0">
      <w:lvlJc w:val="left"/>
      <w:lvlText w:val="•"/>
      <w:numFmt w:val="bullet"/>
      <w:start w:val="1"/>
    </w:lvl>
  </w:abstractNum>
  <w:abstractNum w:abstractNumId="350">
    <w:nsid w:val="76896198"/>
    <w:multiLevelType w:val="hybridMultilevel"/>
    <w:lvl w:ilvl="0">
      <w:lvlJc w:val="left"/>
      <w:lvlText w:val="в"/>
      <w:numFmt w:val="bullet"/>
      <w:start w:val="1"/>
    </w:lvl>
  </w:abstractNum>
  <w:abstractNum w:abstractNumId="351">
    <w:nsid w:val="4365174B"/>
    <w:multiLevelType w:val="hybridMultilevel"/>
    <w:lvl w:ilvl="0">
      <w:lvlJc w:val="left"/>
      <w:lvlText w:val="%1"/>
      <w:numFmt w:val="decimal"/>
      <w:start w:val="34"/>
    </w:lvl>
    <w:lvl w:ilvl="1">
      <w:lvlJc w:val="left"/>
      <w:lvlText w:val="и"/>
      <w:numFmt w:val="bullet"/>
      <w:start w:val="1"/>
    </w:lvl>
  </w:abstractNum>
  <w:abstractNum w:abstractNumId="352">
    <w:nsid w:val="4A872C35"/>
    <w:multiLevelType w:val="hybridMultilevel"/>
    <w:lvl w:ilvl="0">
      <w:lvlJc w:val="left"/>
      <w:lvlText w:val="•"/>
      <w:numFmt w:val="bullet"/>
      <w:start w:val="1"/>
    </w:lvl>
  </w:abstractNum>
  <w:abstractNum w:abstractNumId="353">
    <w:nsid w:val="5D5CE761"/>
    <w:multiLevelType w:val="hybridMultilevel"/>
    <w:lvl w:ilvl="0">
      <w:lvlJc w:val="left"/>
      <w:lvlText w:val="•"/>
      <w:numFmt w:val="bullet"/>
      <w:start w:val="1"/>
    </w:lvl>
  </w:abstractNum>
  <w:abstractNum w:abstractNumId="354">
    <w:nsid w:val="1CD484D5"/>
    <w:multiLevelType w:val="hybridMultilevel"/>
    <w:lvl w:ilvl="0">
      <w:lvlJc w:val="left"/>
      <w:lvlText w:val="•"/>
      <w:numFmt w:val="bullet"/>
      <w:start w:val="1"/>
    </w:lvl>
  </w:abstractNum>
  <w:abstractNum w:abstractNumId="355">
    <w:nsid w:val="21D06255"/>
    <w:multiLevelType w:val="hybridMultilevel"/>
    <w:lvl w:ilvl="0">
      <w:lvlJc w:val="left"/>
      <w:lvlText w:val="в"/>
      <w:numFmt w:val="bullet"/>
      <w:start w:val="1"/>
    </w:lvl>
  </w:abstractNum>
  <w:abstractNum w:abstractNumId="356">
    <w:nsid w:val="51194ED1"/>
    <w:multiLevelType w:val="hybridMultilevel"/>
    <w:lvl w:ilvl="0">
      <w:lvlJc w:val="left"/>
      <w:lvlText w:val="•"/>
      <w:numFmt w:val="bullet"/>
      <w:start w:val="1"/>
    </w:lvl>
  </w:abstractNum>
  <w:abstractNum w:abstractNumId="357">
    <w:nsid w:val="44E2ED6C"/>
    <w:multiLevelType w:val="hybridMultilevel"/>
    <w:lvl w:ilvl="0">
      <w:lvlJc w:val="left"/>
      <w:lvlText w:val="%1"/>
      <w:numFmt w:val="decimal"/>
      <w:start w:val="41"/>
    </w:lvl>
  </w:abstractNum>
  <w:abstractNum w:abstractNumId="358">
    <w:nsid w:val="2219B33"/>
    <w:multiLevelType w:val="hybridMultilevel"/>
    <w:lvl w:ilvl="0">
      <w:lvlJc w:val="left"/>
      <w:lvlText w:val="•"/>
      <w:numFmt w:val="bullet"/>
      <w:start w:val="1"/>
    </w:lvl>
  </w:abstractNum>
  <w:abstractNum w:abstractNumId="359">
    <w:nsid w:val="773BFBDD"/>
    <w:multiLevelType w:val="hybridMultilevel"/>
    <w:lvl w:ilvl="0">
      <w:lvlJc w:val="left"/>
      <w:lvlText w:val="•"/>
      <w:numFmt w:val="bullet"/>
      <w:start w:val="1"/>
    </w:lvl>
  </w:abstractNum>
  <w:abstractNum w:abstractNumId="360">
    <w:nsid w:val="2C7C62C2"/>
    <w:multiLevelType w:val="hybridMultilevel"/>
    <w:lvl w:ilvl="0">
      <w:lvlJc w:val="left"/>
      <w:lvlText w:val="в"/>
      <w:numFmt w:val="bullet"/>
      <w:start w:val="1"/>
    </w:lvl>
  </w:abstractNum>
  <w:abstractNum w:abstractNumId="361">
    <w:nsid w:val="1A54D7BC"/>
    <w:multiLevelType w:val="hybridMultilevel"/>
    <w:lvl w:ilvl="0">
      <w:lvlJc w:val="left"/>
      <w:lvlText w:val="%1"/>
      <w:numFmt w:val="decimal"/>
      <w:start w:val="42"/>
    </w:lvl>
  </w:abstractNum>
  <w:abstractNum w:abstractNumId="362">
    <w:nsid w:val="42E57EF7"/>
    <w:multiLevelType w:val="hybridMultilevel"/>
    <w:lvl w:ilvl="0">
      <w:lvlJc w:val="left"/>
      <w:lvlText w:val="%1."/>
      <w:numFmt w:val="decimal"/>
      <w:start w:val="1"/>
    </w:lvl>
  </w:abstractNum>
  <w:abstractNum w:abstractNumId="363">
    <w:nsid w:val="33537CED"/>
    <w:multiLevelType w:val="hybridMultilevel"/>
    <w:lvl w:ilvl="0">
      <w:lvlJc w:val="left"/>
      <w:lvlText w:val="%1."/>
      <w:numFmt w:val="decimal"/>
      <w:start w:val="8"/>
    </w:lvl>
  </w:abstractNum>
  <w:abstractNum w:abstractNumId="364">
    <w:nsid w:val="27514ADE"/>
    <w:multiLevelType w:val="hybridMultilevel"/>
    <w:lvl w:ilvl="0">
      <w:lvlJc w:val="left"/>
      <w:lvlText w:val="%1"/>
      <w:numFmt w:val="decimal"/>
      <w:start w:val="44"/>
    </w:lvl>
  </w:abstractNum>
  <w:abstractNum w:abstractNumId="365">
    <w:nsid w:val="57071613"/>
    <w:multiLevelType w:val="hybridMultilevel"/>
    <w:lvl w:ilvl="0">
      <w:lvlJc w:val="left"/>
      <w:lvlText w:val="%1."/>
      <w:numFmt w:val="decimal"/>
      <w:start w:val="23"/>
    </w:lvl>
  </w:abstractNum>
  <w:abstractNum w:abstractNumId="366">
    <w:nsid w:val="5293BFEF"/>
    <w:multiLevelType w:val="hybridMultilevel"/>
    <w:lvl w:ilvl="0">
      <w:lvlJc w:val="left"/>
      <w:lvlText w:val="о"/>
      <w:numFmt w:val="bullet"/>
      <w:start w:val="1"/>
    </w:lvl>
  </w:abstractNum>
  <w:abstractNum w:abstractNumId="367">
    <w:nsid w:val="38BF53E5"/>
    <w:multiLevelType w:val="hybridMultilevel"/>
    <w:lvl w:ilvl="0">
      <w:lvlJc w:val="left"/>
      <w:lvlText w:val="и"/>
      <w:numFmt w:val="bullet"/>
      <w:start w:val="1"/>
    </w:lvl>
  </w:abstractNum>
  <w:abstractNum w:abstractNumId="368">
    <w:nsid w:val="226F5320"/>
    <w:multiLevelType w:val="hybridMultilevel"/>
    <w:lvl w:ilvl="0">
      <w:lvlJc w:val="left"/>
      <w:lvlText w:val="к"/>
      <w:numFmt w:val="bullet"/>
      <w:start w:val="1"/>
    </w:lvl>
  </w:abstractNum>
  <w:abstractNum w:abstractNumId="369">
    <w:nsid w:val="5A0201C7"/>
    <w:multiLevelType w:val="hybridMultilevel"/>
    <w:lvl w:ilvl="0">
      <w:lvlJc w:val="left"/>
      <w:lvlText w:val="•"/>
      <w:numFmt w:val="bullet"/>
      <w:start w:val="1"/>
    </w:lvl>
  </w:abstractNum>
  <w:abstractNum w:abstractNumId="370">
    <w:nsid w:val="2A9C34E2"/>
    <w:multiLevelType w:val="hybridMultilevel"/>
    <w:lvl w:ilvl="0">
      <w:lvlJc w:val="left"/>
      <w:lvlText w:val="к"/>
      <w:numFmt w:val="bullet"/>
      <w:start w:val="1"/>
    </w:lvl>
  </w:abstractNum>
  <w:abstractNum w:abstractNumId="371">
    <w:nsid w:val="1B7585AB"/>
    <w:multiLevelType w:val="hybridMultilevel"/>
    <w:lvl w:ilvl="0">
      <w:lvlJc w:val="left"/>
      <w:lvlText w:val="с"/>
      <w:numFmt w:val="bullet"/>
      <w:start w:val="1"/>
    </w:lvl>
  </w:abstractNum>
  <w:abstractNum w:abstractNumId="372">
    <w:nsid w:val="612DBDDD"/>
    <w:multiLevelType w:val="hybridMultilevel"/>
    <w:lvl w:ilvl="0">
      <w:lvlJc w:val="left"/>
      <w:lvlText w:val="и"/>
      <w:numFmt w:val="bullet"/>
      <w:start w:val="1"/>
    </w:lvl>
  </w:abstractNum>
  <w:abstractNum w:abstractNumId="373">
    <w:nsid w:val="2109CDA4"/>
    <w:multiLevelType w:val="hybridMultilevel"/>
    <w:lvl w:ilvl="0">
      <w:lvlJc w:val="left"/>
      <w:lvlText w:val="и"/>
      <w:numFmt w:val="bullet"/>
      <w:start w:val="1"/>
    </w:lvl>
  </w:abstractNum>
  <w:abstractNum w:abstractNumId="374">
    <w:nsid w:val="577F5A4D"/>
    <w:multiLevelType w:val="hybridMultilevel"/>
    <w:lvl w:ilvl="0">
      <w:lvlJc w:val="left"/>
      <w:lvlText w:val="и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  <w:num w:numId="274">
    <w:abstractNumId w:val="273"/>
  </w:num>
  <w:num w:numId="275">
    <w:abstractNumId w:val="274"/>
  </w:num>
  <w:num w:numId="276">
    <w:abstractNumId w:val="275"/>
  </w:num>
  <w:num w:numId="277">
    <w:abstractNumId w:val="276"/>
  </w:num>
  <w:num w:numId="278">
    <w:abstractNumId w:val="277"/>
  </w:num>
  <w:num w:numId="279">
    <w:abstractNumId w:val="278"/>
  </w:num>
  <w:num w:numId="280">
    <w:abstractNumId w:val="279"/>
  </w:num>
  <w:num w:numId="281">
    <w:abstractNumId w:val="280"/>
  </w:num>
  <w:num w:numId="282">
    <w:abstractNumId w:val="281"/>
  </w:num>
  <w:num w:numId="283">
    <w:abstractNumId w:val="282"/>
  </w:num>
  <w:num w:numId="284">
    <w:abstractNumId w:val="283"/>
  </w:num>
  <w:num w:numId="285">
    <w:abstractNumId w:val="284"/>
  </w:num>
  <w:num w:numId="286">
    <w:abstractNumId w:val="285"/>
  </w:num>
  <w:num w:numId="287">
    <w:abstractNumId w:val="286"/>
  </w:num>
  <w:num w:numId="288">
    <w:abstractNumId w:val="287"/>
  </w:num>
  <w:num w:numId="289">
    <w:abstractNumId w:val="288"/>
  </w:num>
  <w:num w:numId="290">
    <w:abstractNumId w:val="289"/>
  </w:num>
  <w:num w:numId="291">
    <w:abstractNumId w:val="290"/>
  </w:num>
  <w:num w:numId="292">
    <w:abstractNumId w:val="291"/>
  </w:num>
  <w:num w:numId="293">
    <w:abstractNumId w:val="292"/>
  </w:num>
  <w:num w:numId="294">
    <w:abstractNumId w:val="293"/>
  </w:num>
  <w:num w:numId="295">
    <w:abstractNumId w:val="294"/>
  </w:num>
  <w:num w:numId="296">
    <w:abstractNumId w:val="295"/>
  </w:num>
  <w:num w:numId="297">
    <w:abstractNumId w:val="296"/>
  </w:num>
  <w:num w:numId="298">
    <w:abstractNumId w:val="297"/>
  </w:num>
  <w:num w:numId="299">
    <w:abstractNumId w:val="298"/>
  </w:num>
  <w:num w:numId="300">
    <w:abstractNumId w:val="299"/>
  </w:num>
  <w:num w:numId="301">
    <w:abstractNumId w:val="300"/>
  </w:num>
  <w:num w:numId="302">
    <w:abstractNumId w:val="301"/>
  </w:num>
  <w:num w:numId="303">
    <w:abstractNumId w:val="302"/>
  </w:num>
  <w:num w:numId="304">
    <w:abstractNumId w:val="303"/>
  </w:num>
  <w:num w:numId="305">
    <w:abstractNumId w:val="304"/>
  </w:num>
  <w:num w:numId="306">
    <w:abstractNumId w:val="305"/>
  </w:num>
  <w:num w:numId="307">
    <w:abstractNumId w:val="306"/>
  </w:num>
  <w:num w:numId="308">
    <w:abstractNumId w:val="307"/>
  </w:num>
  <w:num w:numId="309">
    <w:abstractNumId w:val="308"/>
  </w:num>
  <w:num w:numId="310">
    <w:abstractNumId w:val="309"/>
  </w:num>
  <w:num w:numId="311">
    <w:abstractNumId w:val="310"/>
  </w:num>
  <w:num w:numId="312">
    <w:abstractNumId w:val="311"/>
  </w:num>
  <w:num w:numId="313">
    <w:abstractNumId w:val="312"/>
  </w:num>
  <w:num w:numId="314">
    <w:abstractNumId w:val="313"/>
  </w:num>
  <w:num w:numId="315">
    <w:abstractNumId w:val="314"/>
  </w:num>
  <w:num w:numId="316">
    <w:abstractNumId w:val="315"/>
  </w:num>
  <w:num w:numId="317">
    <w:abstractNumId w:val="316"/>
  </w:num>
  <w:num w:numId="318">
    <w:abstractNumId w:val="317"/>
  </w:num>
  <w:num w:numId="319">
    <w:abstractNumId w:val="318"/>
  </w:num>
  <w:num w:numId="320">
    <w:abstractNumId w:val="319"/>
  </w:num>
  <w:num w:numId="321">
    <w:abstractNumId w:val="320"/>
  </w:num>
  <w:num w:numId="322">
    <w:abstractNumId w:val="321"/>
  </w:num>
  <w:num w:numId="323">
    <w:abstractNumId w:val="322"/>
  </w:num>
  <w:num w:numId="324">
    <w:abstractNumId w:val="323"/>
  </w:num>
  <w:num w:numId="325">
    <w:abstractNumId w:val="324"/>
  </w:num>
  <w:num w:numId="326">
    <w:abstractNumId w:val="325"/>
  </w:num>
  <w:num w:numId="327">
    <w:abstractNumId w:val="326"/>
  </w:num>
  <w:num w:numId="328">
    <w:abstractNumId w:val="327"/>
  </w:num>
  <w:num w:numId="329">
    <w:abstractNumId w:val="328"/>
  </w:num>
  <w:num w:numId="330">
    <w:abstractNumId w:val="329"/>
  </w:num>
  <w:num w:numId="331">
    <w:abstractNumId w:val="330"/>
  </w:num>
  <w:num w:numId="332">
    <w:abstractNumId w:val="331"/>
  </w:num>
  <w:num w:numId="333">
    <w:abstractNumId w:val="332"/>
  </w:num>
  <w:num w:numId="334">
    <w:abstractNumId w:val="333"/>
  </w:num>
  <w:num w:numId="335">
    <w:abstractNumId w:val="334"/>
  </w:num>
  <w:num w:numId="336">
    <w:abstractNumId w:val="335"/>
  </w:num>
  <w:num w:numId="337">
    <w:abstractNumId w:val="336"/>
  </w:num>
  <w:num w:numId="338">
    <w:abstractNumId w:val="337"/>
  </w:num>
  <w:num w:numId="339">
    <w:abstractNumId w:val="338"/>
  </w:num>
  <w:num w:numId="340">
    <w:abstractNumId w:val="339"/>
  </w:num>
  <w:num w:numId="341">
    <w:abstractNumId w:val="340"/>
  </w:num>
  <w:num w:numId="342">
    <w:abstractNumId w:val="341"/>
  </w:num>
  <w:num w:numId="343">
    <w:abstractNumId w:val="342"/>
  </w:num>
  <w:num w:numId="344">
    <w:abstractNumId w:val="343"/>
  </w:num>
  <w:num w:numId="345">
    <w:abstractNumId w:val="344"/>
  </w:num>
  <w:num w:numId="346">
    <w:abstractNumId w:val="345"/>
  </w:num>
  <w:num w:numId="347">
    <w:abstractNumId w:val="346"/>
  </w:num>
  <w:num w:numId="348">
    <w:abstractNumId w:val="347"/>
  </w:num>
  <w:num w:numId="349">
    <w:abstractNumId w:val="348"/>
  </w:num>
  <w:num w:numId="350">
    <w:abstractNumId w:val="349"/>
  </w:num>
  <w:num w:numId="351">
    <w:abstractNumId w:val="350"/>
  </w:num>
  <w:num w:numId="352">
    <w:abstractNumId w:val="351"/>
  </w:num>
  <w:num w:numId="353">
    <w:abstractNumId w:val="352"/>
  </w:num>
  <w:num w:numId="354">
    <w:abstractNumId w:val="353"/>
  </w:num>
  <w:num w:numId="355">
    <w:abstractNumId w:val="354"/>
  </w:num>
  <w:num w:numId="356">
    <w:abstractNumId w:val="355"/>
  </w:num>
  <w:num w:numId="357">
    <w:abstractNumId w:val="356"/>
  </w:num>
  <w:num w:numId="358">
    <w:abstractNumId w:val="357"/>
  </w:num>
  <w:num w:numId="359">
    <w:abstractNumId w:val="358"/>
  </w:num>
  <w:num w:numId="360">
    <w:abstractNumId w:val="359"/>
  </w:num>
  <w:num w:numId="361">
    <w:abstractNumId w:val="360"/>
  </w:num>
  <w:num w:numId="362">
    <w:abstractNumId w:val="361"/>
  </w:num>
  <w:num w:numId="363">
    <w:abstractNumId w:val="362"/>
  </w:num>
  <w:num w:numId="364">
    <w:abstractNumId w:val="363"/>
  </w:num>
  <w:num w:numId="365">
    <w:abstractNumId w:val="364"/>
  </w:num>
  <w:num w:numId="366">
    <w:abstractNumId w:val="365"/>
  </w:num>
  <w:num w:numId="367">
    <w:abstractNumId w:val="366"/>
  </w:num>
  <w:num w:numId="368">
    <w:abstractNumId w:val="367"/>
  </w:num>
  <w:num w:numId="369">
    <w:abstractNumId w:val="368"/>
  </w:num>
  <w:num w:numId="370">
    <w:abstractNumId w:val="369"/>
  </w:num>
  <w:num w:numId="371">
    <w:abstractNumId w:val="370"/>
  </w:num>
  <w:num w:numId="372">
    <w:abstractNumId w:val="371"/>
  </w:num>
  <w:num w:numId="373">
    <w:abstractNumId w:val="372"/>
  </w:num>
  <w:num w:numId="374">
    <w:abstractNumId w:val="373"/>
  </w:num>
  <w:num w:numId="375">
    <w:abstractNumId w:val="3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40" Type="http://schemas.openxmlformats.org/officeDocument/2006/relationships/image" Target="media/image2.png"/><Relationship Id="rId53" Type="http://schemas.openxmlformats.org/officeDocument/2006/relationships/image" Target="media/image3.png"/><Relationship Id="rId13" Type="http://schemas.openxmlformats.org/officeDocument/2006/relationships/hyperlink" Target="http://www.cbr.ru/about_br/publ/onfinmarket/" TargetMode="External"/><Relationship Id="rId14" Type="http://schemas.openxmlformats.org/officeDocument/2006/relationships/hyperlink" Target="http://www.cbr.ru" TargetMode="External"/><Relationship Id="rId15" Type="http://schemas.openxmlformats.org/officeDocument/2006/relationships/hyperlink" Target="http://www.cbr.ru/about_br/publ/ondkp/on_2025_2027/" TargetMode="External"/><Relationship Id="rId16" Type="http://schemas.openxmlformats.org/officeDocument/2006/relationships/hyperlink" Target="http://pravo.gov.ru/proxy/ips/?docbody=&amp;prevDoc=102352512&amp;backlink=1&amp;&amp;nd=603754299" TargetMode="External"/><Relationship Id="rId17" Type="http://schemas.openxmlformats.org/officeDocument/2006/relationships/hyperlink" Target="http://www.cbr.ru/content/document/file/165674/document_2024-09-02.pdf" TargetMode="External"/><Relationship Id="rId18" Type="http://schemas.openxmlformats.org/officeDocument/2006/relationships/hyperlink" Target="http://www.cbr.ru/Content/Document/File/117582/program_2021-2025.pdf" TargetMode="External"/><Relationship Id="rId19" Type="http://schemas.openxmlformats.org/officeDocument/2006/relationships/hyperlink" Target="http://www.cbr.ru/statichtml/file/59420/inf_apr_1014.pdf" TargetMode="External"/><Relationship Id="rId20" Type="http://schemas.openxmlformats.org/officeDocument/2006/relationships/hyperlink" Target="http://www.cbr.ru/press/pr/?file=638647601884419977bank_sector.htm" TargetMode="External"/><Relationship Id="rId21" Type="http://schemas.openxmlformats.org/officeDocument/2006/relationships/hyperlink" Target="http://www.cbr.ru/press/event/?id=18597" TargetMode="External"/><Relationship Id="rId22" Type="http://schemas.openxmlformats.org/officeDocument/2006/relationships/hyperlink" Target="http://www.cbr.ru/Content/Document/File/161848/Consultation_Paper_28062024.pdf" TargetMode="External"/><Relationship Id="rId23" Type="http://schemas.openxmlformats.org/officeDocument/2006/relationships/hyperlink" Target="http://www.cbr.ru/press/event/?id=18677#highlight=%D1%81%D1%82%D0%B0%D0%BD%D0%B4%D0%B0%D1%80%D1%82%D0%B0%D0%BC%7C%D0%B4%D0%B5%D1%8F%D1%82%D0%B5%D0%BB%D1%8C%D0%BD%D0%BE%D1%81%D1%82%D0%B8%7C%D0%BA%D1%80%D0%B5%D0%B4%D0%B8%D1%82%D0%BD%D1%8B%D1%85%7C%D0%BE%D1%8" TargetMode="External"/><Relationship Id="rId24" Type="http://schemas.openxmlformats.org/officeDocument/2006/relationships/hyperlink" Target="http://www.cbr.ru/search/?text=%D0%98%D0%BD%D1%84%D0%BE%D1%80%D0%BC%D0%B0%D1%86%D0%B8%D0%BE%D0%BD%D0%BD%D1%8B%D0%B5+%D0%BF%D0%B8%D1%81%D1%8C%D0%BC%D0%B0+%D0%B8+%D1%80%D0%B5%D0%BA%D0%BE%D0%BC%D0%B5%D0%BD%D0%B4%D0%B0%D1%86%D0%B8%D0%B8+%D0%BF%D0%BE+%D1%83%D1%81%D1%82%D0%BE%D0%B9%D1%87%D0%B8%D0%B2%D0%BE%D0%BC%D1%83+%D1%80%D0%B0%D0%B7%D0%B2%D0%B8%D1%82%D0%B8%D1%8E" TargetMode="External"/><Relationship Id="rId25" Type="http://schemas.openxmlformats.org/officeDocument/2006/relationships/hyperlink" Target="http://www.cbr.ru/content/document/file/162066/press_781-p.pdf" TargetMode="External"/><Relationship Id="rId26" Type="http://schemas.openxmlformats.org/officeDocument/2006/relationships/hyperlink" Target="http://www.cbr.ru/Content/Document/File/160494/dbra_20240417.pdf" TargetMode="External"/><Relationship Id="rId27" Type="http://schemas.openxmlformats.org/officeDocument/2006/relationships/hyperlink" Target="http://www.cbr.ru/content/document/file/158672/consultation_paper_08022024.pdf" TargetMode="External"/><Relationship Id="rId28" Type="http://schemas.openxmlformats.org/officeDocument/2006/relationships/hyperlink" Target="http://www.cbr.ru/na/banking_regulation_newsletter/" TargetMode="External"/><Relationship Id="rId29" Type="http://schemas.openxmlformats.org/officeDocument/2006/relationships/hyperlink" Target="http://www.cbr.ru/press/event/?id=21019" TargetMode="External"/><Relationship Id="rId30" Type="http://schemas.openxmlformats.org/officeDocument/2006/relationships/hyperlink" Target="http://www.cbr.ru/Content/Document/File/165304/Consultation_Paper_19082024.pdf" TargetMode="External"/><Relationship Id="rId31" Type="http://schemas.openxmlformats.org/officeDocument/2006/relationships/hyperlink" Target="http://www.cbr.ru/Content/Document/File/148351/onrib_2025.pdf" TargetMode="External"/><Relationship Id="rId32" Type="http://schemas.openxmlformats.org/officeDocument/2006/relationships/hyperlink" Target="http://www.cbr.ru/Content/Document/File/155985/strategy_2030.pdf" TargetMode="External"/><Relationship Id="rId33" Type="http://schemas.openxmlformats.org/officeDocument/2006/relationships/hyperlink" Target="http://www.cbr.ru/Content/Document/File/162505/acc_indicators_02082024.pdf" TargetMode="External"/><Relationship Id="rId34" Type="http://schemas.openxmlformats.org/officeDocument/2006/relationships/hyperlink" Target="http://www.cbr.ru/analytics/develop/fin_avail/fter/#a_162469file" TargetMode="External"/><Relationship Id="rId35" Type="http://schemas.openxmlformats.org/officeDocument/2006/relationships/hyperlink" Target="http://www.cbr.ru/content/document/file/132045/pnpdfu_2022-2024.pdf" TargetMode="External"/><Relationship Id="rId36" Type="http://schemas.openxmlformats.org/officeDocument/2006/relationships/hyperlink" Target="http://www.cbr.ru/Content/Document/File/166300/project_onpdfu_2025-2027.pdf" TargetMode="External"/><Relationship Id="rId37" Type="http://schemas.openxmlformats.org/officeDocument/2006/relationships/hyperlink" Target="http://www.cbr.ru/Content/Document/File/166399/onfintech_2025-27.pdf" TargetMode="External"/><Relationship Id="rId38" Type="http://schemas.openxmlformats.org/officeDocument/2006/relationships/hyperlink" Target="http://www.cbr.ru/analytics/d_ok/consultation_paper_03112023/" TargetMode="External"/><Relationship Id="rId39" Type="http://schemas.openxmlformats.org/officeDocument/2006/relationships/hyperlink" Target="http://www.cbr.ru/press/pr/?file=638699637849513580bank_sector.htm#highlight=%D0%BD%D0%B0%D0%B4%D0%B1%D0%B0%D0%B2%D0%BA%D0%B0%D0%BC%7C%D0%BD%D0%B0%D0%B4%D0%B1%D0%B0%D0%B2%D0%BA%D0%B8" TargetMode="External"/><Relationship Id="rId41" Type="http://schemas.openxmlformats.org/officeDocument/2006/relationships/hyperlink" Target="http://www.cbr.ru/ec_research/analitics/" TargetMode="External"/><Relationship Id="rId42" Type="http://schemas.openxmlformats.org/officeDocument/2006/relationships/hyperlink" Target="http://www.cbr.ru/analytics/bank_sector/develop/" TargetMode="External"/><Relationship Id="rId43" Type="http://schemas.openxmlformats.org/officeDocument/2006/relationships/hyperlink" Target="http://www.cbr.ru/analytics/rsci/review_uk/" TargetMode="External"/><Relationship Id="rId44" Type="http://schemas.openxmlformats.org/officeDocument/2006/relationships/hyperlink" Target="http://www.cbr.ru/analytics/rsci/activity_npf/rewiew_npf/" TargetMode="External"/><Relationship Id="rId45" Type="http://schemas.openxmlformats.org/officeDocument/2006/relationships/hyperlink" Target="http://www.cbr.ru/analytics/insurance/overview_insurers/#a_85436" TargetMode="External"/><Relationship Id="rId46" Type="http://schemas.openxmlformats.org/officeDocument/2006/relationships/hyperlink" Target="http://www.cbr.ru/analytics/rcb/review_broker/#a_156497" TargetMode="External"/><Relationship Id="rId47" Type="http://schemas.openxmlformats.org/officeDocument/2006/relationships/hyperlink" Target="http://www.cbr.ru/analytics/microfinance/reveiw_mfo/#a_84043" TargetMode="External"/><Relationship Id="rId48" Type="http://schemas.openxmlformats.org/officeDocument/2006/relationships/hyperlink" Target="http://www.cbr.ru/analytics/finstab/orfr/" TargetMode="External"/><Relationship Id="rId49" Type="http://schemas.openxmlformats.org/officeDocument/2006/relationships/hyperlink" Target="http://www.cbr.ru/analytics/finflows/#highlight=%D0%BC%D0%BE%D0%BD%D0%B8%D1%82%D0%BE%D1%80%D0%B8%D0%BD%D0%B3%7C%D0%BE%D1%82%D1%80%D0%B0%D1%81%D0%BB%D0%B5%D0%B2%D1%8B%D1%85%7C%D1%84%D0%B8%D0%BD%D0%B0%D0%BD%D1%81%D0%BE%D0%B2%D1%8B%D1%85%7C%D0%BF%D0%BE%D1%82%D0%BE%D0%BA%D0%BE%D0%B2" TargetMode="External"/><Relationship Id="rId50" Type="http://schemas.openxmlformats.org/officeDocument/2006/relationships/hyperlink" Target="http://www.cbr.ru/analytics/develop/fin_avail/" TargetMode="External"/><Relationship Id="rId51" Type="http://schemas.openxmlformats.org/officeDocument/2006/relationships/hyperlink" Target="http://www.cbr.ru/analytics/currency_control/#highlight=%D0%BF%D1%80%D0%BE%D1%82%D0%B8%D0%B2%D0%BE%D0%B4%D0%B5%D0%B9%D1%81%D1%82%D0%B2%D0%B8%D0%B5%7C%D0%BD%D0%B5%D0%B4%D0%BE%D0%B1%D1%80%D0%BE%D1%81%D0%BE%D0%B2%D0%B5%D1%81%D1%82%D0%BD%D1%8B%D0%BC%7C%D0%BF%D1%80%D0%B0%D0%BA%D1%82%D0%B8%D0%BA%D0%B0%D0%BC%7C%D1%83%D1%87%D0%B0%D1%81%D1%82%D0%BD%D0%B8%D0%BA%D0%BE%D0%B2%7C%D1%80%D1%8B%D0%BD%D0%BA%D0%B0%7C%D0%BF%D1%80%D0%B0%D0%BA%D1%82%D0%B8%D0%BA" TargetMode="External"/><Relationship Id="rId52" Type="http://schemas.openxmlformats.org/officeDocument/2006/relationships/hyperlink" Target="http://www.cbr.ru/Content/Document/File/160321/report_20240411.pdf" TargetMode="External"/><Relationship Id="rId54" Type="http://schemas.openxmlformats.org/officeDocument/2006/relationships/hyperlink" Target="http://www.cbr.ru/finstab/review/" TargetMode="External"/><Relationship Id="rId55" Type="http://schemas.openxmlformats.org/officeDocument/2006/relationships/hyperlink" Target="http://publication.pravo.gov.ru/Document/View/0001202212310037" TargetMode="External"/><Relationship Id="rId56" Type="http://schemas.openxmlformats.org/officeDocument/2006/relationships/hyperlink" Target="http://www.cbr.ru/content/document/file/155985/strategy_2030.pdf" TargetMode="External"/><Relationship Id="rId57" Type="http://schemas.openxmlformats.org/officeDocument/2006/relationships/hyperlink" Target="http://www.cbr.ru/content/document/file/144001/road_map_development_2023-24.pdf" TargetMode="External"/><Relationship Id="rId58" Type="http://schemas.openxmlformats.org/officeDocument/2006/relationships/hyperlink" Target="http://www.cbr.ru/content/document/file/144054/2023-01-12_pm-01-59_2.pdf" TargetMode="External"/><Relationship Id="rId59" Type="http://schemas.openxmlformats.org/officeDocument/2006/relationships/hyperlink" Target="http://www.cbr.ru/Content/Document/File/161910/road%20map_strategies_22122023.pdf" TargetMode="External"/><Relationship Id="rId60" Type="http://schemas.openxmlformats.org/officeDocument/2006/relationships/hyperlink" Target="http://publication.pravo.gov.ru/Document/View/0001202101080002" TargetMode="External"/><Relationship Id="rId61" Type="http://schemas.openxmlformats.org/officeDocument/2006/relationships/hyperlink" Target="http://www.cbr.ru/Content/Document/File/143643/Consultation_Paper_21122022.pdf" TargetMode="External"/><Relationship Id="rId62" Type="http://schemas.openxmlformats.org/officeDocument/2006/relationships/hyperlink" Target="http://www.cbr.ru/Content/Document/File/142481/Consultation_Paper_06122022.pdf" TargetMode="External"/><Relationship Id="rId63" Type="http://schemas.openxmlformats.org/officeDocument/2006/relationships/hyperlink" Target="http://www.cbr.ru/Content/Document/File/141992/report_07112022.pdf" TargetMode="External"/><Relationship Id="rId64" Type="http://schemas.openxmlformats.org/officeDocument/2006/relationships/hyperlink" Target="http://www.cbr.ru/Content/Document/File/141991/Consultation_Paper_07112022.pdf" TargetMode="External"/><Relationship Id="rId65" Type="http://schemas.openxmlformats.org/officeDocument/2006/relationships/hyperlink" Target="http://www.cbr.ru/Content/Document/File/139354/financial_market_20220804.pdf" TargetMode="External"/><Relationship Id="rId66" Type="http://schemas.openxmlformats.org/officeDocument/2006/relationships/hyperlink" Target="http://www.cbr.ru/content/document/file/156061/consultation_paper_03112023.pdf" TargetMode="External"/><Relationship Id="rId67" Type="http://schemas.openxmlformats.org/officeDocument/2006/relationships/hyperlink" Target="http://www.cbr.ru/content/document/file/152926/review_token.pdf" TargetMode="External"/><Relationship Id="rId68" Type="http://schemas.openxmlformats.org/officeDocument/2006/relationships/hyperlink" Target="http://www.cbr.ru/content/document/file/161600/analytical_report_20240605.pdf" TargetMode="External"/><Relationship Id="rId69" Type="http://schemas.openxmlformats.org/officeDocument/2006/relationships/hyperlink" Target="http://www.cbr.ru/content/document/file/162005/analytical_report_10072024.pdf" TargetMode="External"/><Relationship Id="rId70" Type="http://schemas.openxmlformats.org/officeDocument/2006/relationships/hyperlink" Target="http://www.cbr.ru/press/event/?id=18867#highlight=%D1%81%D1%82%D1%80%D0%B0%D0%BD%D1%8B%7C%D0%B1%D1%80%D0%B8%D0%BA%D1%81%7C%D1%80%D0%B0%D0%B7%D0%B2%D0%B8%D1%82%D0%B8%D0%B8%7C%D1%84%D0%B8%D0%BD%D0%B0%D0%BD%D1%81%D0%BE%D0%B2%D0%BE%D0%B9%7C%D0%B3%D1%80%D0%B0%D0%BC%D0%BE%D1%82%D0%BD%D0%BE%D1%81%D1%82%D0%B8%7C%D0%BE%D0%BF%D1%8B%D1%82%7C%D1%81%D1%82%D1%80%D0%B0%D0%BD%7C%D0%BE%D0%B1%D0%BB%D0%B0%D1%81%D1%82%D0%B8%7C%D1%80%D0%B0%D0%B7%D0%B2%D0%B8%D1%82%D0%B8%D1%8F" TargetMode="External"/><Relationship Id="rId71" Type="http://schemas.openxmlformats.org/officeDocument/2006/relationships/hyperlink" Target="http://www.cbr.ru/content/document/file/161810/report_on_anti-crisis_measures.pdf" TargetMode="External"/><Relationship Id="rId72" Type="http://schemas.openxmlformats.org/officeDocument/2006/relationships/hyperlink" Target="http://www.cbr.ru/content/document/file/161834/consultation_paper_25062024.pdf" TargetMode="External"/><Relationship Id="rId73" Type="http://schemas.openxmlformats.org/officeDocument/2006/relationships/hyperlink" Target="http://www.cbr.ru/content/document/file/161909/analytical_report_strategies_18062024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2025-10-29T00:30:20Z</dcterms:created>
  <dcterms:modified xsi:type="dcterms:W3CDTF">2025-10-29T00:30:20Z</dcterms:modified>
</cp:coreProperties>
</file>