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300"/>
        <w:jc w:val="center"/>
      </w:pPr>
      <w:r>
        <w:rPr>
          <w:rFonts w:ascii="Calibri" w:cs="Calibri" w:eastAsia="Calibri" w:hAnsi="Calibri"/>
          <w:b/>
          <w:bCs/>
          <w:color w:val="1D6FB8"/>
          <w:spacing w:val="60"/>
          <w:sz w:val="54"/>
          <w:szCs w:val="54"/>
        </w:rPr>
        <w:t xml:space="preserve">VEEBASE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0B1F3A"/>
          <w:sz w:val="30"/>
          <w:szCs w:val="30"/>
        </w:rPr>
        <w:t xml:space="preserve">RCM INTELLIGENCE PLATFORM</w:t>
      </w:r>
    </w:p>
    <w:p>
      <w:pPr>
        <w:pBdr>
          <w:bottom w:val="single" w:color="0E7C7B" w:sz="12" w:space="8"/>
        </w:pBdr>
        <w:spacing w:after="220"/>
        <w:jc w:val="center"/>
      </w:pPr>
      <w:r>
        <w:rPr>
          <w:rFonts w:ascii="Calibri" w:cs="Calibri" w:eastAsia="Calibri" w:hAnsi="Calibri"/>
        </w:rPr>
        <w:t xml:space="preserve"/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E7C7B"/>
          <w:sz w:val="20"/>
          <w:szCs w:val="20"/>
        </w:rPr>
        <w:t xml:space="preserve">TECHNICAL ARCHITECTURE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40"/>
          <w:szCs w:val="40"/>
        </w:rPr>
        <w:t xml:space="preserve">System Architecture</w:t>
      </w:r>
    </w:p>
    <w:p>
      <w:pPr>
        <w:spacing w:after="56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Layers · data model · engine · AI · security · integration · deployment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A reference for engineers integrating, operating, or extending the</w:t>
      </w:r>
    </w:p>
    <w:p>
      <w:pPr>
        <w:spacing w:after="620"/>
        <w:jc w:val="center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Veebase RCM Intelligence Platform.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0B1F3A"/>
          <w:sz w:val="22"/>
          <w:szCs w:val="22"/>
        </w:rPr>
        <w:t xml:space="preserve">Architecture Document</w:t>
      </w:r>
    </w:p>
    <w:p>
      <w:pPr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Version 1.0  · 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/>
      </w:pPr>
      <w:r>
        <w:rPr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1. Overview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Veebase is a single-deployable web application built on Next.js 16 (App Router) with a clean separation between presentation, API, business logic and persistence. The codebase is TypeScript end-to-end, type-checked strictly, and validated by an automated test suite and CI. It runs as a Next.js standalone build under Bun or Node.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rPr>
          <w:tblHeader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Presentation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Next.js 16, React 19, Tailwind v4, shadcn/ui, Zustand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Bilingual (EN/AR, RTL) views; client store hydrated from the API.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API gateway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Route Handlers + Edge middleware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Internal UI endpoints; authenticated /api/v1 surface; CORS, rate limit, request-id, auth gate.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Service layer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TypeScript services (src/lib/server)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Engine orchestration, persistence, audit, escalations, webhook dispatch.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RCM engine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Pure functions (src/lib/rcm-engine.ts)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Deterministic scoring, lifecycle transitions, payer rules.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AI layer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Provider router (src/lib/ai)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LLM chat + VLM extraction with failover across cloud/local providers.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Persistence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Prisma ORM, SQLite (Postgres-ready)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domain + operational data.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2. Request &amp; Processing Flow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A claim mutation flows through the stack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4"/>
              <w:left w:val="single" w:color="1D6FB8" w:sz="24"/>
              <w:bottom w:val="single" w:color="CBD5E1" w:sz="4"/>
              <w:right w:val="single" w:color="CBD5E1" w:sz="4"/>
            </w:tcBorders>
            <w:shd w:fill="EAF2F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</w:rPr>
              <w:t xml:space="preserve">Flow</w:t>
            </w:r>
          </w:p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Client / external system → API route → (auth + validation) → service layer → RCM engine (pure) → service applies patch + writes audit + records ClaimEvent + raises escalation → emits signed webhook(s) → response.</w:t>
            </w:r>
          </w:p>
        </w:tc>
      </w:tr>
    </w:tbl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The engine is a pure function library: given a claim snapshot it returns the proposed changes with no side effects. Persistence, audit logging and event dispatch are the service layer’s responsibility. This keeps the engine deterministic, unit-testable and fully auditable — essential properties for a compliance-sensitive domain.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3. Data Model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Prisma models (SQLite types shown; JSON is stored as TEXT strings and parsed at the boundary).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 / key fields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Claim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The core record: claimNumber, patient + payer, totalAmount, status, readinessScore, denialRiskScore, priorAuth*, financials, deadlines, phase, hitlGate, tags.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AgentStatus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The 12 agents: status, category, metrics (claimsProcessed, activeClaims, errorCount, avgProcessingMs), sequence.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Escalation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5-level ladder: claim ref, level (1–5), reason, agentName, status, assignedTo.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KPIRecord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Operational/financial/quality KPIs: value, target, unit, period, trend.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AuditLog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Immutable audit trail: action, actor, actorRole, claim ref, details, prev/new value, riskLevel, tags, source.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ClaimEvent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Per-agent processing event: agent, from/to status, confidence, hitlGate, rationale, output (JSON).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ApiKey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External API keys: keyHash (sha-256), prefix, scopes, active, lastUsedAt.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Webhook / WebhookDelivery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Outbound subscriptions + signed delivery log (status, statusCode, attempts).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User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RBAC users: email, name, passwordHash (scrypt), role, active, lastLoginAt.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Setting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Key/value app settings (e.g. ai.provider — the runtime-selected AI provider).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IdempotencyKey</w:t>
            </w:r>
          </w:p>
        </w:tc>
        <w:tc>
          <w:tcPr>
            <w:tcW w:type="dxa" w:w="7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Safe-retry keys for create requests (scoped per API key).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4. The RCM Engine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 Lifecycle state machine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4"/>
              <w:left w:val="single" w:color="1D6FB8" w:sz="24"/>
              <w:bottom w:val="single" w:color="CBD5E1" w:sz="4"/>
              <w:right w:val="single" w:color="CBD5E1" w:sz="4"/>
            </w:tcBorders>
            <w:shd w:fill="EAF2F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</w:rPr>
              <w:t xml:space="preserve">States</w:t>
            </w:r>
          </w:p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ELIGIBILITY → PRIOR_AUTH → CHARGE_CAPTURE → CODING → SCRUBBING → SUBMITTED → ADJUDICATION → REMITTANCE → PAID</w:t>
            </w:r>
          </w:p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Diversions: ADJUDICATION → DENIED; DENIED → SUBMITTED (appeal) or WRITTEN_OFF (approval). Terminal: PAID, CLOSED, WRITTEN_OFF.</w:t>
            </w:r>
          </w:p>
        </w:tc>
      </w:tr>
    </w:tbl>
    <w:p>
      <w:pPr>
        <w:spacing w:after="140" w:line="276"/>
        <w:jc w:val="both"/>
      </w:pPr>
      <w:r>
        <w:rPr>
          <w:rFonts w:ascii="Consolas" w:cs="Consolas" w:eastAsia="Consolas" w:hAnsi="Consolas"/>
          <w:color w:val="9A3412"/>
          <w:sz w:val="19"/>
          <w:szCs w:val="19"/>
        </w:rPr>
        <w:t xml:space="preserve">processClaim(claim)</w:t>
      </w:r>
      <w:r>
        <w:rPr>
          <w:rFonts w:ascii="Calibri" w:cs="Calibri" w:eastAsia="Calibri" w:hAnsi="Calibri"/>
        </w:rPr>
        <w:t xml:space="preserve"> runs the agent responsible for the current status and returns the proposed result (next status, scores, gate, rationale, output, optional escalation).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processToGate()</w:t>
      </w:r>
      <w:r>
        <w:rPr>
          <w:rFonts w:ascii="Calibri" w:cs="Calibri" w:eastAsia="Calibri" w:hAnsi="Calibri"/>
        </w:rPr>
        <w:t xml:space="preserve"> advances a claim automatically until it reaches a human gate, a terminal status, or a safety cap — never bypassing required review.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4.2 Scoring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Readiness (0–100):</w:t>
      </w:r>
      <w:r>
        <w:rPr>
          <w:rFonts w:ascii="Calibri" w:cs="Calibri" w:eastAsia="Calibri" w:hAnsi="Calibri"/>
        </w:rPr>
        <w:t xml:space="preserve"> rewards approved prior-auth and clean-claim status; penalises missing auth, charge gaps, coding review, and filing-deadline pressure.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Denial risk (0–100):</w:t>
      </w:r>
      <w:r>
        <w:rPr>
          <w:rFonts w:ascii="Calibri" w:cs="Calibri" w:eastAsia="Calibri" w:hAnsi="Calibri"/>
        </w:rPr>
        <w:t xml:space="preserve"> starts from a per-payer baseline; adds risk for missing authorisation, very high value, fraud flags, charge/coding issues; reduces for clean claims and high readiness.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4.3 Payer rule book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60"/>
        <w:gridCol w:w="1300"/>
        <w:gridCol w:w="1300"/>
        <w:gridCol w:w="16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Payer type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Prior-auth threshold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Filing days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Appeal days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Reimbursement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Denial baseline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NHIA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5,000 EGP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PRIVATE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3,000 EGP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85%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SELF_PAY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n/a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365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0%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4.4 HITL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7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</w:t>
            </w:r>
          </w:p>
        </w:tc>
        <w:tc>
          <w:tcPr>
            <w:tcW w:type="dxa" w:w="7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Low-risk, high-confidence; the agent proceeds automatically.</w:t>
            </w:r>
          </w:p>
        </w:tc>
      </w:tr>
      <w:t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REVIEW</w:t>
            </w:r>
          </w:p>
        </w:tc>
        <w:tc>
          <w:tcPr>
            <w:tcW w:type="dxa" w:w="7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 human must review before the claim advances.</w:t>
            </w:r>
          </w:p>
        </w:tc>
      </w:tr>
      <w:t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APPROVE</w:t>
            </w:r>
          </w:p>
        </w:tc>
        <w:tc>
          <w:tcPr>
            <w:tcW w:type="dxa" w:w="7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 human must explicitly approve a high-stakes action (e.g. high-value submission, write-off).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5. AI Provider Layer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The AI layer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src/lib/ai</w:t>
      </w:r>
      <w:r>
        <w:rPr>
          <w:rFonts w:ascii="Calibri" w:cs="Calibri" w:eastAsia="Calibri" w:hAnsi="Calibri"/>
        </w:rPr>
        <w:t xml:space="preserve">) abstracts LLM chat and VLM extraction behind a provider router. Providers: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zai</w:t>
      </w:r>
      <w:r>
        <w:rPr>
          <w:rFonts w:ascii="Calibri" w:cs="Calibri" w:eastAsia="Calibri" w:hAnsi="Calibri"/>
        </w:rPr>
        <w:t xml:space="preserve"> (bundled SDK),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openai</w:t>
      </w:r>
      <w:r>
        <w:rPr>
          <w:rFonts w:ascii="Calibri" w:cs="Calibri" w:eastAsia="Calibri" w:hAnsi="Calibri"/>
        </w:rPr>
        <w:t xml:space="preserve"> (any OpenAI-compatible HTTP endpoint),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anthropic</w:t>
      </w:r>
      <w:r>
        <w:rPr>
          <w:rFonts w:ascii="Calibri" w:cs="Calibri" w:eastAsia="Calibri" w:hAnsi="Calibri"/>
        </w:rPr>
        <w:t xml:space="preserve"> (Messages API),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ollama</w:t>
      </w:r>
      <w:r>
        <w:rPr>
          <w:rFonts w:ascii="Calibri" w:cs="Calibri" w:eastAsia="Calibri" w:hAnsi="Calibri"/>
        </w:rPr>
        <w:t xml:space="preserve"> (local, OpenAI-compatible). The router resolves an ordered chain — active provider, then fallbacks (explicit or auto-derived), then a deterministic knowledge base — and tries each until one succeeds. The active provider is persisted in the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Setting</w:t>
      </w:r>
      <w:r>
        <w:rPr>
          <w:rFonts w:ascii="Calibri" w:cs="Calibri" w:eastAsia="Calibri" w:hAnsi="Calibri"/>
        </w:rPr>
        <w:t xml:space="preserve"> table and switchable at runtime; generic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RCM_AI_*</w:t>
      </w:r>
      <w:r>
        <w:rPr>
          <w:rFonts w:ascii="Calibri" w:cs="Calibri" w:eastAsia="Calibri" w:hAnsi="Calibri"/>
        </w:rPr>
        <w:t xml:space="preserve"> env vars override the active provider’s model/endpoint/key.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4"/>
              <w:left w:val="single" w:color="0E7C7B" w:sz="24"/>
              <w:bottom w:val="single" w:color="CBD5E1" w:sz="4"/>
              <w:right w:val="single" w:color="CBD5E1" w:sz="4"/>
            </w:tcBorders>
            <w:shd w:fill="EAF2F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</w:rPr>
              <w:t xml:space="preserve">Failover</w:t>
            </w:r>
          </w:p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active → fallback providers → deterministic knowledge base (chat) / template extraction (ingest). The assistant always responds, even with no AI configured.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6. Authentication &amp; Authorization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6.1 API authentication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/api/v1</w:t>
      </w:r>
      <w:r>
        <w:rPr>
          <w:rFonts w:ascii="Calibri" w:cs="Calibri" w:eastAsia="Calibri" w:hAnsi="Calibri"/>
        </w:rPr>
        <w:t xml:space="preserve"> requires an API key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X-API-Key</w:t>
      </w:r>
      <w:r>
        <w:rPr>
          <w:rFonts w:ascii="Calibri" w:cs="Calibri" w:eastAsia="Calibri" w:hAnsi="Calibri"/>
        </w:rPr>
        <w:t xml:space="preserve">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Authorization: Bearer</w:t>
      </w:r>
      <w:r>
        <w:rPr>
          <w:rFonts w:ascii="Calibri" w:cs="Calibri" w:eastAsia="Calibri" w:hAnsi="Calibri"/>
        </w:rPr>
        <w:t xml:space="preserve">), hashed with SHA-256 and matched against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ApiKey.keyHash</w:t>
      </w:r>
      <w:r>
        <w:rPr>
          <w:rFonts w:ascii="Calibri" w:cs="Calibri" w:eastAsia="Calibri" w:hAnsi="Calibri"/>
        </w:rPr>
        <w:t xml:space="preserve">; scopes are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read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write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admin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</w:rPr>
        <w:t xml:space="preserve">A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RCM_MASTER_KEY</w:t>
      </w:r>
      <w:r>
        <w:rPr>
          <w:rFonts w:ascii="Calibri" w:cs="Calibri" w:eastAsia="Calibri" w:hAnsi="Calibri"/>
        </w:rPr>
        <w:t xml:space="preserve"> is always accepted (length-safe constant-time compare). Keyless "bootstrap" access is allowed only outside production — production fails closed.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6.2 UI sessions &amp; RBAC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</w:rPr>
        <w:t xml:space="preserve">When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RCM_AUTH_ENABLED=true</w:t>
      </w:r>
      <w:r>
        <w:rPr>
          <w:rFonts w:ascii="Calibri" w:cs="Calibri" w:eastAsia="Calibri" w:hAnsi="Calibri"/>
        </w:rPr>
        <w:t xml:space="preserve"> (or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RCM_UI_PASSWORD</w:t>
      </w:r>
      <w:r>
        <w:rPr>
          <w:rFonts w:ascii="Calibri" w:cs="Calibri" w:eastAsia="Calibri" w:hAnsi="Calibri"/>
        </w:rPr>
        <w:t xml:space="preserve"> set), the Edge middleware gates the app and verifies a signed, HttpOnly session cookie (HMAC-SHA256 via Web Crypto). The session carries the user role.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</w:rPr>
        <w:t xml:space="preserve">Login authenticates against the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User</w:t>
      </w:r>
      <w:r>
        <w:rPr>
          <w:rFonts w:ascii="Calibri" w:cs="Calibri" w:eastAsia="Calibri" w:hAnsi="Calibri"/>
        </w:rPr>
        <w:t xml:space="preserve"> table (scrypt), falling back to the env single-user as ADMIN. Login is constant-time to prevent user enumeration.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</w:rPr>
        <w:t xml:space="preserve">Capability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240"/>
        <w:gridCol w:w="1240"/>
        <w:gridCol w:w="1240"/>
        <w:gridCol w:w="1240"/>
        <w:gridCol w:w="1240"/>
      </w:tblGrid>
      <w:tr>
        <w:trPr>
          <w:tblHeader/>
        </w:trPr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RCM_MGR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BILLER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COMPL.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VIEWER</w:t>
            </w:r>
          </w:p>
        </w:tc>
      </w:tr>
      <w:tr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claims.view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claims.create / process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escalation.resolve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escalation.resolve.l4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writeoff.approve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audit.view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ai.manage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keys.manage / users.manage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12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7. Security Controls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Encryption at rest:</w:t>
      </w:r>
      <w:r>
        <w:rPr>
          <w:rFonts w:ascii="Calibri" w:cs="Calibri" w:eastAsia="Calibri" w:hAnsi="Calibri"/>
        </w:rPr>
        <w:t xml:space="preserve"> AES-256-GCM for sensitive fields (national IDs), gated by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RCM_ENCRYPTION_KEY</w:t>
      </w:r>
      <w:r>
        <w:rPr>
          <w:rFonts w:ascii="Calibri" w:cs="Calibri" w:eastAsia="Calibri" w:hAnsi="Calibri"/>
        </w:rPr>
        <w:t xml:space="preserve">; decryption fails closed; legacy plaintext passes through.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SSRF protection:</w:t>
      </w:r>
      <w:r>
        <w:rPr>
          <w:rFonts w:ascii="Calibri" w:cs="Calibri" w:eastAsia="Calibri" w:hAnsi="Calibri"/>
        </w:rPr>
        <w:t xml:space="preserve"> outbound webhook URLs are validated at registration and re-checked at delivery; private/loopback/link-local/metadata targets are blocked (override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RCM_WEBHOOK_ALLOW_PRIVATE</w:t>
      </w:r>
      <w:r>
        <w:rPr>
          <w:rFonts w:ascii="Calibri" w:cs="Calibri" w:eastAsia="Calibri" w:hAnsi="Calibri"/>
        </w:rPr>
        <w:t xml:space="preserve"> for dev).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Transport &amp; headers:</w:t>
      </w:r>
      <w:r>
        <w:rPr>
          <w:rFonts w:ascii="Calibri" w:cs="Calibri" w:eastAsia="Calibri" w:hAnsi="Calibri"/>
        </w:rPr>
        <w:t xml:space="preserve"> baseline security headers (nosniff, frame-options, referrer-policy, permissions-policy); CORS allow-list; per-credential rate limiting (Redis-backed when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REDIS_URL</w:t>
      </w:r>
      <w:r>
        <w:rPr>
          <w:rFonts w:ascii="Calibri" w:cs="Calibri" w:eastAsia="Calibri" w:hAnsi="Calibri"/>
        </w:rPr>
        <w:t xml:space="preserve"> is set).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Audit:</w:t>
      </w:r>
      <w:r>
        <w:rPr>
          <w:rFonts w:ascii="Calibri" w:cs="Calibri" w:eastAsia="Calibri" w:hAnsi="Calibri"/>
        </w:rPr>
        <w:t xml:space="preserve"> immutable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AuditLog</w:t>
      </w:r>
      <w:r>
        <w:rPr>
          <w:rFonts w:ascii="Calibri" w:cs="Calibri" w:eastAsia="Calibri" w:hAnsi="Calibri"/>
        </w:rPr>
        <w:t xml:space="preserve">; actors on sensitive writes are set from the session, not the client.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8. Integration Surface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GET/POST /api/v1/claims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List / create (single, batch, FHIR); Idempotency-Key supported.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GET/PATCH /api/v1/claims/{id}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Read (with history) / update.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 /api/v1/claims/{id}/process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Run the agent pipeline (step / auto).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 /api/v1/eligibility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Real-time eligibility &amp; risk pre-check.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 /api/v1/fhir/Claim · GET /…/{id}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HL7 FHIR R4 ingest / read.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GET/POST /api/v1/webhooks (+ /test, /deliveries)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Outbound event subscriptions (HMAC-signed, retried).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GET/POST /api/v1/keys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API key management.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GET /api/health · /api/metrics · /api/openapi.json · /docs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Ops &amp; developer endpoints.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9. Deployment Topologies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Single-node (pilot/dev):</w:t>
      </w:r>
      <w:r>
        <w:rPr>
          <w:rFonts w:ascii="Calibri" w:cs="Calibri" w:eastAsia="Calibri" w:hAnsi="Calibri"/>
        </w:rPr>
        <w:t xml:space="preserve"> one app instance, SQLite, in-memory rate limit.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Scaled:</w:t>
      </w:r>
      <w:r>
        <w:rPr>
          <w:rFonts w:ascii="Calibri" w:cs="Calibri" w:eastAsia="Calibri" w:hAnsi="Calibri"/>
        </w:rPr>
        <w:t xml:space="preserve"> multiple stateless app instances behind a load balancer + managed PostgreSQL + Redis (shared rate limiting). Idempotency keys are already DB-shared; set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RCM_SESSION_SECRET</w:t>
      </w:r>
      <w:r>
        <w:rPr>
          <w:rFonts w:ascii="Calibri" w:cs="Calibri" w:eastAsia="Calibri" w:hAnsi="Calibri"/>
        </w:rPr>
        <w:t xml:space="preserve"> for stable multi-instance sessions.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Air-gapped / on-prem:</w:t>
      </w:r>
      <w:r>
        <w:rPr>
          <w:rFonts w:ascii="Calibri" w:cs="Calibri" w:eastAsia="Calibri" w:hAnsi="Calibri"/>
        </w:rPr>
        <w:t xml:space="preserve"> local Ollama AI provider + field-level encryption; no external calls.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Build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bun run build</w:t>
      </w:r>
      <w:r>
        <w:rPr>
          <w:rFonts w:ascii="Calibri" w:cs="Calibri" w:eastAsia="Calibri" w:hAnsi="Calibri"/>
        </w:rPr>
        <w:t xml:space="preserve"> (Next.js standalone) and run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bun .next/standalone/server.js</w:t>
      </w:r>
      <w:r>
        <w:rPr>
          <w:rFonts w:ascii="Calibri" w:cs="Calibri" w:eastAsia="Calibri" w:hAnsi="Calibri"/>
        </w:rPr>
        <w:t xml:space="preserve">. Apply schema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prisma migrate deploy</w:t>
      </w:r>
      <w:r>
        <w:rPr>
          <w:rFonts w:ascii="Calibri" w:cs="Calibri" w:eastAsia="Calibri" w:hAnsi="Calibri"/>
        </w:rPr>
        <w:t xml:space="preserve">. See the companion "Operations &amp; Hosting" guide for full configuration and runbooks.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10. Quality &amp; Testing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</w:rPr>
        <w:t xml:space="preserve">Strict TypeScript (no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ignoreBuildErrors</w:t>
      </w:r>
      <w:r>
        <w:rPr>
          <w:rFonts w:ascii="Calibri" w:cs="Calibri" w:eastAsia="Calibri" w:hAnsi="Calibri"/>
        </w:rPr>
        <w:t xml:space="preserve">), ESLint, and a Bun test suite covering the engine (scoring, lifecycle, gates, prohibited actions), request validation, sessions, RBAC, cryptography and SSRF.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</w:rPr>
        <w:t xml:space="preserve">GitHub Actions CI: install → prisma generate → migrate deploy → lint → typecheck → test → build.</w:t>
      </w:r>
    </w:p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© 2026 Veebase — Architecture reference, version 1.0.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60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Veebase RCM Intelligence Platform</w:t>
    </w:r>
    <w:r>
      <w:rPr>
        <w:rFonts w:ascii="Calibri" w:cs="Calibri" w:eastAsia="Calibri" w:hAnsi="Calibri"/>
        <w:color w:val="6B7280"/>
        <w:sz w:val="16"/>
        <w:szCs w:val="16"/>
      </w:rPr>
      <w:t xml:space="preserve">	Architecture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6FB8" w:sz="8" w:space="6"/>
      </w:pBdr>
      <w:spacing w:after="160" w:before="320"/>
      <w:outlineLvl w:val="0"/>
    </w:pPr>
    <w:rPr>
      <w:rFonts w:ascii="Calibri" w:cs="Calibri" w:eastAsia="Calibri" w:hAnsi="Calibri"/>
      <w:b/>
      <w:bCs/>
      <w:color w:val="0B1F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1D6FB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0E7C7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Veebase RCM Architecture</dc:title>
  <dc:creator>Veebase</dc:creator>
  <dc:description>Veebase RCM Intelligence Platform</dc:description>
  <cp:lastModifiedBy>Un-named</cp:lastModifiedBy>
  <cp:revision>1</cp:revision>
  <dcterms:created xsi:type="dcterms:W3CDTF">2026-06-13T07:31:38.433Z</dcterms:created>
  <dcterms:modified xsi:type="dcterms:W3CDTF">2026-06-13T07:31:38.433Z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