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300"/>
        <w:jc w:val="center"/>
      </w:pPr>
      <w:r>
        <w:rPr>
          <w:rFonts w:ascii="Calibri" w:cs="Calibri" w:eastAsia="Calibri" w:hAnsi="Calibri"/>
          <w:b/>
          <w:bCs/>
          <w:color w:val="1D6FB8"/>
          <w:spacing w:val="60"/>
          <w:sz w:val="54"/>
          <w:szCs w:val="54"/>
        </w:rPr>
        <w:t xml:space="preserve">VEEBASE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0B1F3A"/>
          <w:sz w:val="30"/>
          <w:szCs w:val="30"/>
        </w:rPr>
        <w:t xml:space="preserve">RCM INTELLIGENCE PLATFORM</w:t>
      </w:r>
    </w:p>
    <w:p>
      <w:pPr>
        <w:pBdr>
          <w:bottom w:val="single" w:color="0E7C7B" w:sz="12" w:space="8"/>
        </w:pBdr>
        <w:spacing w:after="220"/>
        <w:jc w:val="center"/>
      </w:pPr>
      <w:r>
        <w:rPr>
          <w:rFonts w:ascii="Calibri" w:cs="Calibri" w:eastAsia="Calibri" w:hAnsi="Calibri"/>
        </w:rPr>
        <w:t xml:space="preserve"/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E7C7B"/>
          <w:sz w:val="20"/>
          <w:szCs w:val="20"/>
        </w:rPr>
        <w:t xml:space="preserve">USER MANUAL</w:t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40"/>
          <w:szCs w:val="40"/>
        </w:rPr>
        <w:t xml:space="preserve">Operating the Platform</w:t>
      </w:r>
    </w:p>
    <w:p>
      <w:pPr>
        <w:spacing w:after="560"/>
        <w:jc w:val="center"/>
      </w:pPr>
      <w:r>
        <w:rPr>
          <w:rFonts w:ascii="Calibri" w:cs="Calibri" w:eastAsia="Calibri" w:hAnsi="Calibri"/>
          <w:color w:val="6B7280"/>
          <w:sz w:val="22"/>
          <w:szCs w:val="22"/>
        </w:rPr>
        <w:t xml:space="preserve">A practical guide for billers, managers, compliance officers and administrators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Everything you need to process claims, manage escalations, run the AI</w:t>
      </w:r>
    </w:p>
    <w:p>
      <w:pPr>
        <w:spacing w:after="620"/>
        <w:jc w:val="center"/>
      </w:pPr>
      <w:r>
        <w:rPr>
          <w:rFonts w:ascii="Calibri" w:cs="Calibri" w:eastAsia="Calibri" w:hAnsi="Calibri"/>
          <w:color w:val="374151"/>
          <w:sz w:val="22"/>
          <w:szCs w:val="22"/>
        </w:rPr>
        <w:t xml:space="preserve">assistant, and administer the Veebase RCM Intelligence Platform.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0B1F3A"/>
          <w:sz w:val="22"/>
          <w:szCs w:val="22"/>
        </w:rPr>
        <w:t xml:space="preserve">User Manual</w:t>
      </w:r>
    </w:p>
    <w:p>
      <w:pPr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Version 1.0  ·  2026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/>
      </w:pPr>
      <w:r>
        <w:rPr>
          <w:rFonts w:ascii="Calibri" w:cs="Calibri" w:eastAsia="Calibri" w:hAnsi="Calibri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1. Getting Started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1.1 Signing in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If your organisation has enabled authentication, you will see a sign-in screen. Enter your email (or username) and password. Sessions last 12 hours; use </w:t>
      </w:r>
      <w:r>
        <w:rPr>
          <w:rFonts w:ascii="Calibri" w:cs="Calibri" w:eastAsia="Calibri" w:hAnsi="Calibri"/>
          <w:b/>
          <w:bCs/>
        </w:rPr>
        <w:t xml:space="preserve">Settings → Account &amp; Access → Sign out</w:t>
      </w:r>
      <w:r>
        <w:rPr>
          <w:rFonts w:ascii="Calibri" w:cs="Calibri" w:eastAsia="Calibri" w:hAnsi="Calibri"/>
        </w:rPr>
        <w:t xml:space="preserve"> to end your session. If authentication is disabled (demo/pilot mode), the application opens directly with full access.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BD5E1" w:sz="4"/>
              <w:left w:val="single" w:color="1D6FB8" w:sz="24"/>
              <w:bottom w:val="single" w:color="CBD5E1" w:sz="4"/>
              <w:right w:val="single" w:color="CBD5E1" w:sz="4"/>
            </w:tcBorders>
            <w:shd w:fill="EAF2F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</w:rPr>
              <w:t xml:space="preserve">Demo accounts</w:t>
            </w:r>
          </w:p>
          <w:p>
            <w:pPr>
              <w:spacing w:after="40" w:line="264"/>
            </w:pPr>
            <w:r>
              <w:rPr>
                <w:rFonts w:ascii="Calibri" w:cs="Calibri" w:eastAsia="Calibri" w:hAnsi="Calibri"/>
              </w:rPr>
              <w:t xml:space="preserve">When seeded, these accounts exist (passwords are for evaluation only): admin@veebase.health / Admin!234 · manager@veebase.health / Manager!234 · biller@veebase.health / Biller!234 · compliance@veebase.health / Comply!234 · viewer@veebase.health / Viewer!234.</w:t>
            </w:r>
          </w:p>
        </w:tc>
      </w:tr>
    </w:tbl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1.2 The interface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Sidebar (left):</w:t>
      </w:r>
      <w:r>
        <w:rPr>
          <w:rFonts w:ascii="Calibri" w:cs="Calibri" w:eastAsia="Calibri" w:hAnsi="Calibri"/>
        </w:rPr>
        <w:t xml:space="preserve"> navigates between the ten views. On mobile it becomes a bottom navigation bar.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Header (top):</w:t>
      </w:r>
      <w:r>
        <w:rPr>
          <w:rFonts w:ascii="Calibri" w:cs="Calibri" w:eastAsia="Calibri" w:hAnsi="Calibri"/>
        </w:rPr>
        <w:t xml:space="preserve"> global search (⌘K / Ctrl+K command palette), language toggle (English ⇄ العربية), light/dark mode, and the notification bell.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Language &amp; direction:</w:t>
      </w:r>
      <w:r>
        <w:rPr>
          <w:rFonts w:ascii="Calibri" w:cs="Calibri" w:eastAsia="Calibri" w:hAnsi="Calibri"/>
        </w:rPr>
        <w:t xml:space="preserve"> switching to Arabic flips the entire layout to right-to-left. Your choice is remembered.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1.3 What your role can 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7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You can…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Administrator</w:t>
            </w:r>
          </w:p>
        </w:tc>
        <w:tc>
          <w:tcPr>
            <w:tcW w:type="dxa" w:w="7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Everything — including managing users, API keys, and the AI provider.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RCM Manager</w:t>
            </w:r>
          </w:p>
        </w:tc>
        <w:tc>
          <w:tcPr>
            <w:tcW w:type="dxa" w:w="7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Process claims, approve write-offs, resolve high-severity (L4+) escalations, manage AI &amp; webhooks.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Biller</w:t>
            </w:r>
          </w:p>
        </w:tc>
        <w:tc>
          <w:tcPr>
            <w:tcW w:type="dxa" w:w="7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Create and process claims; acknowledge and resolve standard escalations.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</w:t>
            </w:r>
          </w:p>
        </w:tc>
        <w:tc>
          <w:tcPr>
            <w:tcW w:type="dxa" w:w="7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View the audit trail and resolve high-severity escalations.</w:t>
            </w:r>
          </w:p>
        </w:tc>
      </w:tr>
      <w:tr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Viewer</w:t>
            </w:r>
          </w:p>
        </w:tc>
        <w:tc>
          <w:tcPr>
            <w:tcW w:type="dxa" w:w="7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Read-only access to claims.</w:t>
            </w:r>
          </w:p>
        </w:tc>
      </w:tr>
    </w:tbl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Controls you are not permitted to use appear disabled. The server enforces the same rules, so nothing is bypassable from the interface.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2. The Views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 Dashboard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Your landing page. Shows live KPI cards, the status of all 12 agents, the claim pipeline by stage, the Human-in-the-Loop (HITL) gate matrix, and a real-time activity feed. Use it for an at-a-glance health check of the revenue cycle.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2.2 Agents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Displays the 12 agents grouped by category (Linear, Sentinel, Knowledge, Analytics). Click any agent to open a detail panel with its description, status, and processing metrics (claims processed, active claims, average time, errors).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2.3 Claims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The claim pipeline. Search by claim number, patient or payer, and filter by status. Click a claim to open its detail panel, which includes: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Financial summary</w:t>
      </w:r>
      <w:r>
        <w:rPr>
          <w:rFonts w:ascii="Calibri" w:cs="Calibri" w:eastAsia="Calibri" w:hAnsi="Calibri"/>
        </w:rPr>
        <w:t xml:space="preserve"> (billed, paid, patient responsibility) and </w:t>
      </w:r>
      <w:r>
        <w:rPr>
          <w:rFonts w:ascii="Calibri" w:cs="Calibri" w:eastAsia="Calibri" w:hAnsi="Calibri"/>
          <w:b/>
          <w:bCs/>
        </w:rPr>
        <w:t xml:space="preserve">workflow progress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Readiness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denial-risk</w:t>
      </w:r>
      <w:r>
        <w:rPr>
          <w:rFonts w:ascii="Calibri" w:cs="Calibri" w:eastAsia="Calibri" w:hAnsi="Calibri"/>
        </w:rPr>
        <w:t xml:space="preserve"> scores.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Processing timeline</w:t>
      </w:r>
      <w:r>
        <w:rPr>
          <w:rFonts w:ascii="Calibri" w:cs="Calibri" w:eastAsia="Calibri" w:hAnsi="Calibri"/>
        </w:rPr>
        <w:t xml:space="preserve"> — each agent that touched the claim, with confidence, gate and rationale.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Run Agents</w:t>
      </w:r>
      <w:r>
        <w:rPr>
          <w:rFonts w:ascii="Calibri" w:cs="Calibri" w:eastAsia="Calibri" w:hAnsi="Calibri"/>
        </w:rPr>
        <w:t xml:space="preserve"> — advances the claim through the pipeline automatically until a human gate or terminal status (requires the claims.process capability).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Appeal strategies</w:t>
      </w:r>
      <w:r>
        <w:rPr>
          <w:rFonts w:ascii="Calibri" w:cs="Calibri" w:eastAsia="Calibri" w:hAnsi="Calibri"/>
        </w:rPr>
        <w:t xml:space="preserve"> (for denied claims) — recommended strategies with success probability and estimated recovery; </w:t>
      </w:r>
      <w:r>
        <w:rPr>
          <w:rFonts w:ascii="Calibri" w:cs="Calibri" w:eastAsia="Calibri" w:hAnsi="Calibri"/>
          <w:b/>
          <w:bCs/>
        </w:rPr>
        <w:t xml:space="preserve">Draft Appeal</w:t>
      </w:r>
      <w:r>
        <w:rPr>
          <w:rFonts w:ascii="Calibri" w:cs="Calibri" w:eastAsia="Calibri" w:hAnsi="Calibri"/>
        </w:rPr>
        <w:t xml:space="preserve"> generates an appeal document.</w:t>
      </w:r>
    </w:p>
    <w:p>
      <w:pPr>
        <w:pStyle w:val="Heading3"/>
        <w:spacing w:after="100" w:before="180"/>
      </w:pPr>
      <w:r>
        <w:rPr>
          <w:rFonts w:ascii="Calibri" w:cs="Calibri" w:eastAsia="Calibri" w:hAnsi="Calibri"/>
        </w:rPr>
        <w:t xml:space="preserve">Create a new claim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New Claim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Enter patient, payer, service date, amount, and codes; the form computes readiness and denial-risk live.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Submit — the claim is created at the ELIGIBILITY stage and saved to the database.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2.4 Ingestion Hub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Turns scanned PDF claims into structured claims. Upload a PDF (or use the virtual printer / watch-folder / API integration methods), choose a hospital template (or auto-detect), and the AI vision extractor fills the fields with per-field confidence. Review and correct low-confidence fields, then </w:t>
      </w:r>
      <w:r>
        <w:rPr>
          <w:rFonts w:ascii="Calibri" w:cs="Calibri" w:eastAsia="Calibri" w:hAnsi="Calibri"/>
          <w:b/>
          <w:bCs/>
        </w:rPr>
        <w:t xml:space="preserve">Submit as Claim</w:t>
      </w:r>
      <w:r>
        <w:rPr>
          <w:rFonts w:ascii="Calibri" w:cs="Calibri" w:eastAsia="Calibri" w:hAnsi="Calibri"/>
        </w:rPr>
        <w:t xml:space="preserve"> to push it into the pipeline.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2.5 Escalations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The 5-level escalation ladder (Front Desk → Billing → RCM Manager → Compliance → Medical Director). Filter by level. For each escalation you can </w:t>
      </w:r>
      <w:r>
        <w:rPr>
          <w:rFonts w:ascii="Calibri" w:cs="Calibri" w:eastAsia="Calibri" w:hAnsi="Calibri"/>
          <w:b/>
          <w:bCs/>
        </w:rPr>
        <w:t xml:space="preserve">Acknowledge</w:t>
      </w:r>
      <w:r>
        <w:rPr>
          <w:rFonts w:ascii="Calibri" w:cs="Calibri" w:eastAsia="Calibri" w:hAnsi="Calibri"/>
        </w:rPr>
        <w:t xml:space="preserve"> (take ownership) and </w:t>
      </w:r>
      <w:r>
        <w:rPr>
          <w:rFonts w:ascii="Calibri" w:cs="Calibri" w:eastAsia="Calibri" w:hAnsi="Calibri"/>
          <w:b/>
          <w:bCs/>
        </w:rPr>
        <w:t xml:space="preserve">Resolve</w:t>
      </w:r>
      <w:r>
        <w:rPr>
          <w:rFonts w:ascii="Calibri" w:cs="Calibri" w:eastAsia="Calibri" w:hAnsi="Calibri"/>
        </w:rPr>
        <w:t xml:space="preserve">. Resolving a high-severity (Level 4+) escalation requires the appropriate capability. Every action is written to the audit trail.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2.6 Audit Trail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A searchable, filterable compliance log of every action — HITL approvals/rejections, escalations, submissions, appeals, payment disputes, phase changes and agent overrides. Filter by action type, risk level or actor role; </w:t>
      </w:r>
      <w:r>
        <w:rPr>
          <w:rFonts w:ascii="Calibri" w:cs="Calibri" w:eastAsia="Calibri" w:hAnsi="Calibri"/>
          <w:b/>
          <w:bCs/>
        </w:rPr>
        <w:t xml:space="preserve">Export</w:t>
      </w:r>
      <w:r>
        <w:rPr>
          <w:rFonts w:ascii="Calibri" w:cs="Calibri" w:eastAsia="Calibri" w:hAnsi="Calibri"/>
        </w:rPr>
        <w:t xml:space="preserve"> to CSV for auditors. (Requires the audit.view capability.)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2.7 Payer Rules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A queryable knowledge base of payer contract rules — fee schedules, authorisation requirements, timely-filing windows, appeal rules and coverage. Search and filter by payer and rule type; each rule shows its source and a confidence indicator.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2.8 Analytics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Charts and financial summaries across a selectable period (week / month / quarter): denial trends, payer mix, revenue trend, claims aging, revenue by payer, denial by reason, daily volume, an agent-performance heatmap, and root-cause narratives.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2.9 AI Assistant (Chat)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Ask questions in natural language about denials, AR days, agent status, escalations, KPIs and appeals. The assistant uses your configured AI provider and falls back to a built-in knowledge base if no provider is reachable, so it always responds. Responses are advisory; they never change claim data.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2.10 Settings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System configuration:</w:t>
      </w:r>
      <w:r>
        <w:rPr>
          <w:rFonts w:ascii="Calibri" w:cs="Calibri" w:eastAsia="Calibri" w:hAnsi="Calibri"/>
        </w:rPr>
        <w:t xml:space="preserve"> simulation speed, auto-refresh.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Account &amp; Access:</w:t>
      </w:r>
      <w:r>
        <w:rPr>
          <w:rFonts w:ascii="Calibri" w:cs="Calibri" w:eastAsia="Calibri" w:hAnsi="Calibri"/>
        </w:rPr>
        <w:t xml:space="preserve"> your current user and role; sign out.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AI Models:</w:t>
      </w:r>
      <w:r>
        <w:rPr>
          <w:rFonts w:ascii="Calibri" w:cs="Calibri" w:eastAsia="Calibri" w:hAnsi="Calibri"/>
        </w:rPr>
        <w:t xml:space="preserve"> view providers, switch the active provider, and test reachability (requires ai.manage).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HITL gate rules</w:t>
      </w:r>
      <w:r>
        <w:rPr>
          <w:rFonts w:ascii="Calibri" w:cs="Calibri" w:eastAsia="Calibri" w:hAnsi="Calibri"/>
        </w:rPr>
        <w:t xml:space="preserve"> and </w:t>
      </w:r>
      <w:r>
        <w:rPr>
          <w:rFonts w:ascii="Calibri" w:cs="Calibri" w:eastAsia="Calibri" w:hAnsi="Calibri"/>
          <w:b/>
          <w:bCs/>
        </w:rPr>
        <w:t xml:space="preserve">notification preferences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rFonts w:ascii="Calibri" w:cs="Calibri" w:eastAsia="Calibri" w:hAnsi="Calibri"/>
          <w:b/>
          <w:bCs/>
        </w:rPr>
        <w:t xml:space="preserve">Data:</w:t>
      </w:r>
      <w:r>
        <w:rPr>
          <w:rFonts w:ascii="Calibri" w:cs="Calibri" w:eastAsia="Calibri" w:hAnsi="Calibri"/>
        </w:rPr>
        <w:t xml:space="preserve"> export claims / audit to CSV; reset demo data.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3. Common Tasks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3.1 Work the exceptions queue (Biller)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Open </w:t>
      </w:r>
      <w:r>
        <w:rPr>
          <w:rFonts w:ascii="Calibri" w:cs="Calibri" w:eastAsia="Calibri" w:hAnsi="Calibri"/>
          <w:b/>
          <w:bCs/>
        </w:rPr>
        <w:t xml:space="preserve">Claims</w:t>
      </w:r>
      <w:r>
        <w:rPr>
          <w:rFonts w:ascii="Calibri" w:cs="Calibri" w:eastAsia="Calibri" w:hAnsi="Calibri"/>
        </w:rPr>
        <w:t xml:space="preserve"> and filter to claims needing review.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Open a paused claim; read the processing timeline to see why it stopped (e.g. missing prior authorisation).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Supply the missing information or correct the issue.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Run Agents</w:t>
      </w:r>
      <w:r>
        <w:rPr>
          <w:rFonts w:ascii="Calibri" w:cs="Calibri" w:eastAsia="Calibri" w:hAnsi="Calibri"/>
        </w:rPr>
        <w:t xml:space="preserve"> to continue processing toward submission.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3.2 Handle a denial (Manager / Biller)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Open the denied claim; review the recommended </w:t>
      </w:r>
      <w:r>
        <w:rPr>
          <w:rFonts w:ascii="Calibri" w:cs="Calibri" w:eastAsia="Calibri" w:hAnsi="Calibri"/>
          <w:b/>
          <w:bCs/>
        </w:rPr>
        <w:t xml:space="preserve">Appeal strategies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Draft Appeal</w:t>
      </w:r>
      <w:r>
        <w:rPr>
          <w:rFonts w:ascii="Calibri" w:cs="Calibri" w:eastAsia="Calibri" w:hAnsi="Calibri"/>
        </w:rPr>
        <w:t xml:space="preserve"> on the chosen strategy to generate the appeal document.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If the claim is not worth appealing, a write-off is proposed — but only a Manager/Admin can approve it.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3.3 Switch the AI provider (Admin / Manager)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Go to </w:t>
      </w:r>
      <w:r>
        <w:rPr>
          <w:rFonts w:ascii="Calibri" w:cs="Calibri" w:eastAsia="Calibri" w:hAnsi="Calibri"/>
          <w:b/>
          <w:bCs/>
        </w:rPr>
        <w:t xml:space="preserve">Settings → AI Models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Test</w:t>
      </w:r>
      <w:r>
        <w:rPr>
          <w:rFonts w:ascii="Calibri" w:cs="Calibri" w:eastAsia="Calibri" w:hAnsi="Calibri"/>
        </w:rPr>
        <w:t xml:space="preserve"> to verify a provider is reachable.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rFonts w:ascii="Calibri" w:cs="Calibri" w:eastAsia="Calibri" w:hAnsi="Calibri"/>
        </w:rPr>
        <w:t xml:space="preserve">Click </w:t>
      </w:r>
      <w:r>
        <w:rPr>
          <w:rFonts w:ascii="Calibri" w:cs="Calibri" w:eastAsia="Calibri" w:hAnsi="Calibri"/>
          <w:b/>
          <w:bCs/>
        </w:rPr>
        <w:t xml:space="preserve">Set active</w:t>
      </w:r>
      <w:r>
        <w:rPr>
          <w:rFonts w:ascii="Calibri" w:cs="Calibri" w:eastAsia="Calibri" w:hAnsi="Calibri"/>
        </w:rPr>
        <w:t xml:space="preserve"> to switch. The change takes effect immediately, with automatic failover to the configured backups.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3.4 Add a user (Admin)</w:t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Administrators provision users via the API (</w:t>
      </w:r>
      <w:r>
        <w:rPr>
          <w:rFonts w:ascii="Consolas" w:cs="Consolas" w:eastAsia="Consolas" w:hAnsi="Consolas"/>
          <w:color w:val="9A3412"/>
          <w:sz w:val="19"/>
          <w:szCs w:val="19"/>
        </w:rPr>
        <w:t xml:space="preserve">POST /api/users</w:t>
      </w:r>
      <w:r>
        <w:rPr>
          <w:rFonts w:ascii="Calibri" w:cs="Calibri" w:eastAsia="Calibri" w:hAnsi="Calibri"/>
        </w:rPr>
        <w:t xml:space="preserve">) with an email, name, password and role. See the Operations &amp; Hosting guide for details.</w:t>
      </w:r>
    </w:p>
    <w:p>
      <w:pPr>
        <w:pStyle w:val="Heading1"/>
        <w:spacing w:after="160" w:before="320"/>
      </w:pPr>
      <w:r>
        <w:rPr>
          <w:rFonts w:ascii="Calibri" w:cs="Calibri" w:eastAsia="Calibri" w:hAnsi="Calibri"/>
        </w:rPr>
        <w:t xml:space="preserve">4. Tips &amp;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1D6FB8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 button is greyed out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Your role lacks the required capability. Ask an administrator, or sign in with a higher-privilege account.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 assistant says "fallback mode"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No AI provider is currently reachable. The built-in knowledge base is answering. An admin can fix the provider in Settings → AI Models.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My changes disappeared after refresh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They should persist — changes are saved to the database. If not, the API may be unreachable; check with your administrator.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How do I switch to Arabic?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4F8FC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 the language toggle in the header. The layout flips to right-to-left automatically.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Where can I export data?</w:t>
            </w:r>
          </w:p>
        </w:tc>
        <w:tc>
          <w:tcPr>
            <w:tcW w:type="dxa" w:w="636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Audit Trail → Export (CSV); Settings → Data → Export claims / audit.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</w:rPr>
        <w:t xml:space="preserve"/>
      </w:r>
    </w:p>
    <w:p>
      <w:pPr>
        <w:spacing w:after="140" w:line="276"/>
        <w:jc w:val="both"/>
      </w:pPr>
      <w:r>
        <w:rPr>
          <w:rFonts w:ascii="Calibri" w:cs="Calibri" w:eastAsia="Calibri" w:hAnsi="Calibri"/>
        </w:rPr>
        <w:t xml:space="preserve">© 2026 Veebase — User Manual, version 1.0.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60"/>
      </w:tabs>
    </w:pPr>
    <w:r>
      <w:rPr>
        <w:rFonts w:ascii="Calibri" w:cs="Calibri" w:eastAsia="Calibri" w:hAnsi="Calibri"/>
        <w:color w:val="6B7280"/>
        <w:sz w:val="16"/>
        <w:szCs w:val="16"/>
      </w:rPr>
      <w:t xml:space="preserve">Veebase RCM Intelligence Platform</w:t>
    </w:r>
    <w:r>
      <w:rPr>
        <w:rFonts w:ascii="Calibri" w:cs="Calibri" w:eastAsia="Calibri" w:hAnsi="Calibri"/>
        <w:color w:val="6B7280"/>
        <w:sz w:val="16"/>
        <w:szCs w:val="16"/>
      </w:rPr>
      <w:t xml:space="preserve">	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  <w:lvl w:ilvl="1" w15:tentative="1">
      <w:start w:val="1"/>
      <w:numFmt w:val="bullet"/>
      <w:lvlText w:val="◦"/>
      <w:lvlJc w:val="left"/>
      <w:pPr>
        <w:ind w:left="108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Step %1."/>
      <w:lvlJc w:val="left"/>
      <w:pPr>
        <w:ind w:left="720" w:hanging="4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6FB8" w:sz="8" w:space="6"/>
      </w:pBdr>
      <w:spacing w:after="160" w:before="320"/>
      <w:outlineLvl w:val="0"/>
    </w:pPr>
    <w:rPr>
      <w:rFonts w:ascii="Calibri" w:cs="Calibri" w:eastAsia="Calibri" w:hAnsi="Calibri"/>
      <w:b/>
      <w:bCs/>
      <w:color w:val="0B1F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1D6FB8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0E7C7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Veebase RCM User Manual</dc:title>
  <dc:creator>Veebase</dc:creator>
  <dc:description>Veebase RCM Intelligence Platform</dc:description>
  <cp:lastModifiedBy>Un-named</cp:lastModifiedBy>
  <cp:revision>1</cp:revision>
  <dcterms:created xsi:type="dcterms:W3CDTF">2026-06-13T07:31:38.934Z</dcterms:created>
  <dcterms:modified xsi:type="dcterms:W3CDTF">2026-06-13T07:31:38.934Z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