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rFonts w:ascii="Calibri" w:cs="Calibri" w:eastAsia="Calibri" w:hAnsi="Calibri"/>
          <w:b/>
          <w:bCs/>
          <w:color w:val="1D6FB8"/>
          <w:spacing w:val="60"/>
          <w:sz w:val="54"/>
          <w:szCs w:val="54"/>
        </w:rPr>
        <w:t xml:space="preserve">VEEBASE</w:t>
      </w:r>
    </w:p>
    <w:p>
      <w:pPr>
        <w:spacing w:after="30"/>
        <w:jc w:val="center"/>
      </w:pPr>
      <w:r>
        <w:rPr>
          <w:rFonts w:ascii="Calibri" w:cs="Calibri" w:eastAsia="Calibri" w:hAnsi="Calibri"/>
          <w:b/>
          <w:bCs/>
          <w:color w:val="0B1F3A"/>
          <w:sz w:val="30"/>
          <w:szCs w:val="30"/>
        </w:rPr>
        <w:t xml:space="preserve">RCM INTELLIGENCE PLATFORM</w:t>
      </w:r>
    </w:p>
    <w:p>
      <w:pPr>
        <w:pBdr>
          <w:bottom w:val="single" w:color="0E7C7B" w:sz="12" w:space="8"/>
        </w:pBdr>
        <w:spacing w:after="220"/>
        <w:jc w:val="center"/>
      </w:pPr>
      <w:r>
        <w:rPr>
          <w:rFonts w:ascii="Calibri" w:cs="Calibri" w:eastAsia="Calibri" w:hAnsi="Calibri"/>
        </w:rPr>
        <w:t xml:space="preserve"/>
      </w:r>
    </w:p>
    <w:p>
      <w:pPr>
        <w:spacing w:after="40"/>
        <w:jc w:val="center"/>
      </w:pPr>
      <w:r>
        <w:rPr>
          <w:rFonts w:ascii="Calibri" w:cs="Calibri" w:eastAsia="Calibri" w:hAnsi="Calibri"/>
          <w:b/>
          <w:bCs/>
          <w:color w:val="0E7C7B"/>
          <w:sz w:val="20"/>
          <w:szCs w:val="20"/>
        </w:rPr>
        <w:t xml:space="preserve">TECHNICAL &amp; BUSINESS WHITEPAPER</w:t>
      </w:r>
    </w:p>
    <w:p>
      <w:pPr>
        <w:spacing w:after="200"/>
        <w:jc w:val="center"/>
      </w:pPr>
      <w:r>
        <w:rPr>
          <w:rFonts w:ascii="Calibri" w:cs="Calibri" w:eastAsia="Calibri" w:hAnsi="Calibri"/>
          <w:b/>
          <w:bCs/>
          <w:color w:val="0B1F3A"/>
          <w:sz w:val="40"/>
          <w:szCs w:val="40"/>
        </w:rPr>
        <w:t xml:space="preserve">Autonomous Revenue Cycle Management</w:t>
      </w:r>
    </w:p>
    <w:p>
      <w:pPr>
        <w:spacing w:after="560"/>
        <w:jc w:val="center"/>
      </w:pPr>
      <w:r>
        <w:rPr>
          <w:rFonts w:ascii="Calibri" w:cs="Calibri" w:eastAsia="Calibri" w:hAnsi="Calibri"/>
          <w:color w:val="6B7280"/>
          <w:sz w:val="22"/>
          <w:szCs w:val="22"/>
        </w:rPr>
        <w:t xml:space="preserve">An agentic-AI platform for healthcare providers — built for the Egyptian &amp; MENA market</w:t>
      </w:r>
    </w:p>
    <w:p>
      <w:pPr>
        <w:spacing w:after="40"/>
        <w:jc w:val="center"/>
      </w:pPr>
      <w:r>
        <w:rPr>
          <w:rFonts w:ascii="Calibri" w:cs="Calibri" w:eastAsia="Calibri" w:hAnsi="Calibri"/>
          <w:color w:val="374151"/>
          <w:sz w:val="22"/>
          <w:szCs w:val="22"/>
        </w:rPr>
        <w:t xml:space="preserve">Twelve specialised AI agents take a claim from eligibility to payment under</w:t>
      </w:r>
    </w:p>
    <w:p>
      <w:pPr>
        <w:spacing w:after="620"/>
        <w:jc w:val="center"/>
      </w:pPr>
      <w:r>
        <w:rPr>
          <w:rFonts w:ascii="Calibri" w:cs="Calibri" w:eastAsia="Calibri" w:hAnsi="Calibri"/>
          <w:color w:val="374151"/>
          <w:sz w:val="22"/>
          <w:szCs w:val="22"/>
        </w:rPr>
        <w:t xml:space="preserve">human-in-the-loop governance — with pluggable AI, RBAC, and standards-based integration.</w:t>
      </w:r>
    </w:p>
    <w:p>
      <w:pPr>
        <w:spacing w:after="30"/>
        <w:jc w:val="center"/>
      </w:pPr>
      <w:r>
        <w:rPr>
          <w:rFonts w:ascii="Calibri" w:cs="Calibri" w:eastAsia="Calibri" w:hAnsi="Calibri"/>
          <w:b/>
          <w:bCs/>
          <w:color w:val="0B1F3A"/>
          <w:sz w:val="22"/>
          <w:szCs w:val="22"/>
        </w:rPr>
        <w:t xml:space="preserve">Whitepaper</w:t>
      </w:r>
    </w:p>
    <w:p>
      <w:pPr>
        <w:jc w:val="center"/>
      </w:pPr>
      <w:r>
        <w:rPr>
          <w:rFonts w:ascii="Calibri" w:cs="Calibri" w:eastAsia="Calibri" w:hAnsi="Calibri"/>
          <w:color w:val="6B7280"/>
          <w:sz w:val="20"/>
          <w:szCs w:val="20"/>
        </w:rPr>
        <w:t xml:space="preserve">Version 1.0  ·  2026</w:t>
      </w:r>
    </w:p>
    <w:p>
      <w:r>
        <w:br w:type="page"/>
      </w:r>
    </w:p>
    <w:p>
      <w:pPr>
        <w:sectPr>
          <w:pgSz w:w="12240" w:h="15840" w:orient="portrait"/>
          <w:pgMar w:top="1440" w:right="1440" w:bottom="1440" w:left="1440" w:header="708" w:footer="708" w:gutter="0"/>
          <w:pgNumType/>
          <w:docGrid w:linePitch="360"/>
        </w:sectPr>
      </w:pPr>
    </w:p>
    <w:p>
      <w:pPr>
        <w:pStyle w:val="Heading1"/>
        <w:spacing w:after="16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Executive Summary</w:t>
      </w:r>
    </w:p>
    <w:p>
      <w:pPr>
        <w:spacing w:after="140" w:line="276"/>
        <w:jc w:val="both"/>
      </w:pPr>
      <w:r>
        <w:rPr>
          <w:rFonts w:ascii="Calibri" w:cs="Calibri" w:eastAsia="Calibri" w:hAnsi="Calibri"/>
        </w:rPr>
        <w:t xml:space="preserve">Healthcare providers lose a substantial share of earned revenue to preventable administrative failure: denied claims, coding errors, eligibility lapses, missed filing deadlines and under-documented charges. The revenue cycle that converts a clinical encounter into collected cash is long, fragmented and error-prone — and the cost of getting it wrong is rising as national health-insurance coverage expands across the region.</w:t>
      </w:r>
    </w:p>
    <w:p>
      <w:pPr>
        <w:spacing w:after="140" w:line="276"/>
        <w:jc w:val="both"/>
      </w:pPr>
      <w:r>
        <w:rPr>
          <w:rFonts w:ascii="Calibri" w:cs="Calibri" w:eastAsia="Calibri" w:hAnsi="Calibri"/>
        </w:rPr>
        <w:t xml:space="preserve">The Veebase RCM Intelligence Platform addresses this with an agentic-AI architecture: twelve specialised AI agents that coordinate the entire revenue cycle, from insurance eligibility verification through to final payment posting. A deterministic, explainable engine scores every claim, advances it through a well-defined lifecycle, and pauses for a human at exactly the points where policy or risk demands judgement. The result is automation of the routine majority of claims and focused human attention on the consequential minority.</w:t>
      </w:r>
    </w:p>
    <w:p>
      <w:pPr>
        <w:spacing w:after="140" w:line="276"/>
        <w:jc w:val="both"/>
      </w:pPr>
      <w:r>
        <w:rPr>
          <w:rFonts w:ascii="Calibri" w:cs="Calibri" w:eastAsia="Calibri" w:hAnsi="Calibri"/>
        </w:rPr>
        <w:t xml:space="preserve">Crucially, the platform is open and deployable in regulated environments. It integrates inbound and outbound via REST and HL7 FHIR R4, emits cryptographically signed webhook events, runs on a pluggable AI foundation that can use cloud or fully on-premise models, and ships with role-based access control, encryption of sensitive data, and a complete compliance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D6FB8" w:sz="24"/>
              <w:bottom w:val="single" w:color="CBD5E1" w:sz="4"/>
              <w:right w:val="single" w:color="CBD5E1" w:sz="4"/>
            </w:tcBorders>
            <w:shd w:fill="EAF2FA" w:val="clear"/>
            <w:tcMar>
              <w:top w:type="dxa" w:w="120"/>
              <w:left w:type="dxa" w:w="200"/>
              <w:bottom w:type="dxa" w:w="120"/>
              <w:right w:type="dxa" w:w="160"/>
            </w:tcMar>
          </w:tcPr>
          <w:p>
            <w:pPr>
              <w:spacing w:after="60"/>
            </w:pPr>
            <w:r>
              <w:rPr>
                <w:rFonts w:ascii="Calibri" w:cs="Calibri" w:eastAsia="Calibri" w:hAnsi="Calibri"/>
                <w:b/>
                <w:bCs/>
                <w:color w:val="0B1F3A"/>
              </w:rPr>
              <w:t xml:space="preserve">Thesis</w:t>
            </w:r>
          </w:p>
          <w:p>
            <w:pPr>
              <w:spacing w:after="40" w:line="264"/>
            </w:pPr>
            <w:r>
              <w:rPr>
                <w:rFonts w:ascii="Calibri" w:cs="Calibri" w:eastAsia="Calibri" w:hAnsi="Calibri"/>
              </w:rPr>
              <w:t xml:space="preserve">The winning RCM platform is not the one with the most automation, but the one that automates safely — coordinating the whole cycle, explaining its reasoning, and keeping humans in command of high-stakes decisions, while integrating with everything around it.</w:t>
            </w:r>
          </w:p>
        </w:tc>
      </w:tr>
    </w:tbl>
    <w:p>
      <w:pPr>
        <w:pStyle w:val="Heading1"/>
        <w:spacing w:after="160" w:before="320"/>
      </w:pPr>
      <w:r>
        <w:rPr>
          <w:rFonts w:ascii="Calibri" w:cs="Calibri" w:eastAsia="Calibri" w:hAnsi="Calibri"/>
        </w:rPr>
        <w:t xml:space="preserve">2. The Problem</w:t>
      </w:r>
    </w:p>
    <w:p>
      <w:pPr>
        <w:spacing w:after="140" w:line="276"/>
        <w:jc w:val="both"/>
      </w:pPr>
      <w:r>
        <w:rPr>
          <w:rFonts w:ascii="Calibri" w:cs="Calibri" w:eastAsia="Calibri" w:hAnsi="Calibri"/>
        </w:rPr>
        <w:t xml:space="preserve">First-pass denial rates of 5–12% are common, and a meaningful fraction of denied revenue is never recovered. Denials are expensive twice over: the lost or delayed revenue itself, and the manual rework each denial triggers. Accounts-Receivable (AR) days stretch, working capital is tied up, and cost-to-collect climbs.</w:t>
      </w:r>
    </w:p>
    <w:p>
      <w:pPr>
        <w:spacing w:after="140" w:line="276"/>
        <w:jc w:val="both"/>
      </w:pPr>
      <w:r>
        <w:rPr>
          <w:rFonts w:ascii="Calibri" w:cs="Calibri" w:eastAsia="Calibri" w:hAnsi="Calibri"/>
        </w:rPr>
        <w:t xml:space="preserve">The underlying cause is structural. The revenue cycle spans registration, authorisation, charge capture, coding, scrubbing, submission, adjudication, remittance, denial management and patient collections — typically across disconnected tools and teams. Every hand-off is an opportunity for error. Legacy RCM software automates individual steps but rarely coordinates the whole, rarely explains its decisions, and rarely operates safely without simply removing humans from the loop.</w:t>
      </w:r>
    </w:p>
    <w:p>
      <w:pPr>
        <w:pStyle w:val="Heading2"/>
        <w:spacing w:after="120" w:before="240"/>
      </w:pPr>
      <w:r>
        <w:rPr>
          <w:rFonts w:ascii="Calibri" w:cs="Calibri" w:eastAsia="Calibri" w:hAnsi="Calibri"/>
        </w:rPr>
        <w:t xml:space="preserve">2.1 The MENA / Egyptian context</w:t>
      </w:r>
    </w:p>
    <w:p>
      <w:pPr>
        <w:pStyle w:val="ListParagraph"/>
        <w:numPr>
          <w:ilvl w:val="0"/>
          <w:numId w:val="2"/>
        </w:numPr>
        <w:spacing w:after="80" w:line="270"/>
      </w:pPr>
      <w:r>
        <w:rPr>
          <w:rFonts w:ascii="Calibri" w:cs="Calibri" w:eastAsia="Calibri" w:hAnsi="Calibri"/>
          <w:b/>
          <w:bCs/>
        </w:rPr>
        <w:t xml:space="preserve">Mixed payer landscape:</w:t>
      </w:r>
      <w:r>
        <w:rPr>
          <w:rFonts w:ascii="Calibri" w:cs="Calibri" w:eastAsia="Calibri" w:hAnsi="Calibri"/>
        </w:rPr>
        <w:t xml:space="preserve"> the National Health Insurance Authority (NHIA), a growing private-insurance sector, and a large self-pay population — each with distinct rules, authorisation thresholds, filing windows and documentation requirements.</w:t>
      </w:r>
    </w:p>
    <w:p>
      <w:pPr>
        <w:pStyle w:val="ListParagraph"/>
        <w:numPr>
          <w:ilvl w:val="0"/>
          <w:numId w:val="2"/>
        </w:numPr>
        <w:spacing w:after="80" w:line="270"/>
      </w:pPr>
      <w:r>
        <w:rPr>
          <w:rFonts w:ascii="Calibri" w:cs="Calibri" w:eastAsia="Calibri" w:hAnsi="Calibri"/>
          <w:b/>
          <w:bCs/>
        </w:rPr>
        <w:t xml:space="preserve">Universal-coverage expansion:</w:t>
      </w:r>
      <w:r>
        <w:rPr>
          <w:rFonts w:ascii="Calibri" w:cs="Calibri" w:eastAsia="Calibri" w:hAnsi="Calibri"/>
        </w:rPr>
        <w:t xml:space="preserve"> rising claim volumes amplify both the opportunity and the cost of error.</w:t>
      </w:r>
    </w:p>
    <w:p>
      <w:pPr>
        <w:pStyle w:val="ListParagraph"/>
        <w:numPr>
          <w:ilvl w:val="0"/>
          <w:numId w:val="2"/>
        </w:numPr>
        <w:spacing w:after="80" w:line="270"/>
      </w:pPr>
      <w:r>
        <w:rPr>
          <w:rFonts w:ascii="Calibri" w:cs="Calibri" w:eastAsia="Calibri" w:hAnsi="Calibri"/>
          <w:b/>
          <w:bCs/>
        </w:rPr>
        <w:t xml:space="preserve">Bilingual operations:</w:t>
      </w:r>
      <w:r>
        <w:rPr>
          <w:rFonts w:ascii="Calibri" w:cs="Calibri" w:eastAsia="Calibri" w:hAnsi="Calibri"/>
        </w:rPr>
        <w:t xml:space="preserve"> staff work across Arabic and English; tooling must be fully bilingual with right-to-left layout.</w:t>
      </w:r>
    </w:p>
    <w:p>
      <w:pPr>
        <w:pStyle w:val="ListParagraph"/>
        <w:numPr>
          <w:ilvl w:val="0"/>
          <w:numId w:val="2"/>
        </w:numPr>
        <w:spacing w:after="80" w:line="270"/>
      </w:pPr>
      <w:r>
        <w:rPr>
          <w:rFonts w:ascii="Calibri" w:cs="Calibri" w:eastAsia="Calibri" w:hAnsi="Calibri"/>
          <w:b/>
          <w:bCs/>
        </w:rPr>
        <w:t xml:space="preserve">Data sovereignty:</w:t>
      </w:r>
      <w:r>
        <w:rPr>
          <w:rFonts w:ascii="Calibri" w:cs="Calibri" w:eastAsia="Calibri" w:hAnsi="Calibri"/>
        </w:rPr>
        <w:t xml:space="preserve"> sensitive patient data and on-premise preferences make cloud-only AI a poor fit — local model inference is a requirement, not a nice-to-have.</w:t>
      </w:r>
    </w:p>
    <w:p>
      <w:pPr>
        <w:pStyle w:val="Heading1"/>
        <w:spacing w:after="160" w:before="320"/>
      </w:pPr>
      <w:r>
        <w:rPr>
          <w:rFonts w:ascii="Calibri" w:cs="Calibri" w:eastAsia="Calibri" w:hAnsi="Calibri"/>
        </w:rPr>
        <w:t xml:space="preserve">3. The Agentic Solution</w:t>
      </w:r>
    </w:p>
    <w:p>
      <w:pPr>
        <w:spacing w:after="140" w:line="276"/>
        <w:jc w:val="both"/>
      </w:pPr>
      <w:r>
        <w:rPr>
          <w:rFonts w:ascii="Calibri" w:cs="Calibri" w:eastAsia="Calibri" w:hAnsi="Calibri"/>
        </w:rPr>
        <w:t xml:space="preserve">Veebase models the revenue cycle as a coordinated team of autonomous agents, each an expert in one part of the process. A central engine routes every claim to the agent responsible for its current stage; the agent produces a structured, explainable output; and the engine recomputes the claim’s health scores and decides the next step — or pauses for a human.</w:t>
      </w:r>
    </w:p>
    <w:p>
      <w:pPr>
        <w:pStyle w:val="Heading2"/>
        <w:spacing w:after="120" w:before="240"/>
      </w:pPr>
      <w:r>
        <w:rPr>
          <w:rFonts w:ascii="Calibri" w:cs="Calibri" w:eastAsia="Calibri" w:hAnsi="Calibri"/>
        </w:rPr>
        <w:t xml:space="preserve">3.1 Twelve agents, four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Category</w:t>
            </w:r>
          </w:p>
        </w:tc>
        <w:tc>
          <w:tcPr>
            <w:tcW w:type="dxa" w:w="726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Agents</w:t>
            </w:r>
          </w:p>
        </w:tc>
      </w:tr>
      <w:tr>
        <w:tc>
          <w:tcPr>
            <w:tcW w:type="dxa" w:w="2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Linear pipeline</w:t>
            </w:r>
          </w:p>
        </w:tc>
        <w:tc>
          <w:tcPr>
            <w:tcW w:type="dxa" w:w="72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Eligibility &amp; Benefits · Prior Authorization · Charge Capture &amp; Integrity · Medical Coding · Claim Scrubbing &amp; Submission · Denial Prediction · Denial Management &amp; Appeals · Payment Posting &amp; Reconciliation · Patient Billing &amp; Collections</w:t>
            </w:r>
          </w:p>
        </w:tc>
      </w:tr>
      <w:tr>
        <w:tc>
          <w:tcPr>
            <w:tcW w:type="dxa" w:w="21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Sentinel</w:t>
            </w:r>
          </w:p>
        </w:tc>
        <w:tc>
          <w:tcPr>
            <w:tcW w:type="dxa" w:w="72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Fraud, Waste &amp; Medical Necessity — screens high-value / anomalous claims</w:t>
            </w:r>
          </w:p>
        </w:tc>
      </w:tr>
      <w:tr>
        <w:tc>
          <w:tcPr>
            <w:tcW w:type="dxa" w:w="2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Knowledge</w:t>
            </w:r>
          </w:p>
        </w:tc>
        <w:tc>
          <w:tcPr>
            <w:tcW w:type="dxa" w:w="72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Payer Contract &amp; Rules — payer-specific thresholds, windows, reimbursement</w:t>
            </w:r>
          </w:p>
        </w:tc>
      </w:tr>
      <w:tr>
        <w:tc>
          <w:tcPr>
            <w:tcW w:type="dxa" w:w="21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Analytics</w:t>
            </w:r>
          </w:p>
        </w:tc>
        <w:tc>
          <w:tcPr>
            <w:tcW w:type="dxa" w:w="72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Analytics &amp; Reporting — KPIs, trends, root-cause narratives</w:t>
            </w:r>
          </w:p>
        </w:tc>
      </w:tr>
    </w:tbl>
    <w:p>
      <w:pPr>
        <w:pStyle w:val="Heading2"/>
        <w:spacing w:after="120" w:before="240"/>
      </w:pPr>
      <w:r>
        <w:rPr>
          <w:rFonts w:ascii="Calibri" w:cs="Calibri" w:eastAsia="Calibri" w:hAnsi="Calibri"/>
        </w:rPr>
        <w:t xml:space="preserve">3.2 The lifecycle and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D6FB8" w:sz="24"/>
              <w:bottom w:val="single" w:color="CBD5E1" w:sz="4"/>
              <w:right w:val="single" w:color="CBD5E1" w:sz="4"/>
            </w:tcBorders>
            <w:shd w:fill="EAF2FA" w:val="clear"/>
            <w:tcMar>
              <w:top w:type="dxa" w:w="120"/>
              <w:left w:type="dxa" w:w="200"/>
              <w:bottom w:type="dxa" w:w="120"/>
              <w:right w:type="dxa" w:w="160"/>
            </w:tcMar>
          </w:tcPr>
          <w:p>
            <w:pPr>
              <w:spacing w:after="60"/>
            </w:pPr>
            <w:r>
              <w:rPr>
                <w:rFonts w:ascii="Calibri" w:cs="Calibri" w:eastAsia="Calibri" w:hAnsi="Calibri"/>
                <w:b/>
                <w:bCs/>
                <w:color w:val="0B1F3A"/>
              </w:rPr>
              <w:t xml:space="preserve">Claim lifecycle</w:t>
            </w:r>
          </w:p>
          <w:p>
            <w:pPr>
              <w:spacing w:after="40" w:line="264"/>
            </w:pPr>
            <w:r>
              <w:rPr>
                <w:rFonts w:ascii="Calibri" w:cs="Calibri" w:eastAsia="Calibri" w:hAnsi="Calibri"/>
              </w:rPr>
              <w:t xml:space="preserve">ELIGIBILITY → PRIOR_AUTH → CHARGE_CAPTURE → CODING → SCRUBBING → SUBMITTED → ADJUDICATION → REMITTANCE → PAID</w:t>
            </w:r>
          </w:p>
          <w:p>
            <w:pPr>
              <w:spacing w:after="40" w:line="264"/>
            </w:pPr>
            <w:r>
              <w:rPr>
                <w:rFonts w:ascii="Calibri" w:cs="Calibri" w:eastAsia="Calibri" w:hAnsi="Calibri"/>
              </w:rPr>
              <w:t xml:space="preserve">Branches: ADJUDICATION → DENIED → (appeal) → SUBMITTED, or DENIED → WRITTEN_OFF (human approval required).</w:t>
            </w:r>
          </w:p>
        </w:tc>
      </w:tr>
    </w:tbl>
    <w:p>
      <w:pPr>
        <w:spacing w:after="140" w:line="276"/>
        <w:jc w:val="both"/>
      </w:pPr>
      <w:r>
        <w:rPr>
          <w:rFonts w:ascii="Calibri" w:cs="Calibri" w:eastAsia="Calibri" w:hAnsi="Calibri"/>
        </w:rPr>
        <w:t xml:space="preserve">At each stage the engine recomputes a </w:t>
      </w:r>
      <w:r>
        <w:rPr>
          <w:rFonts w:ascii="Calibri" w:cs="Calibri" w:eastAsia="Calibri" w:hAnsi="Calibri"/>
          <w:b/>
          <w:bCs/>
        </w:rPr>
        <w:t xml:space="preserve">Readiness Score</w:t>
      </w:r>
      <w:r>
        <w:rPr>
          <w:rFonts w:ascii="Calibri" w:cs="Calibri" w:eastAsia="Calibri" w:hAnsi="Calibri"/>
        </w:rPr>
        <w:t xml:space="preserve"> (0–100, how submission-ready the claim is) and a </w:t>
      </w:r>
      <w:r>
        <w:rPr>
          <w:rFonts w:ascii="Calibri" w:cs="Calibri" w:eastAsia="Calibri" w:hAnsi="Calibri"/>
          <w:b/>
          <w:bCs/>
        </w:rPr>
        <w:t xml:space="preserve">Denial Risk Score</w:t>
      </w:r>
      <w:r>
        <w:rPr>
          <w:rFonts w:ascii="Calibri" w:cs="Calibri" w:eastAsia="Calibri" w:hAnsi="Calibri"/>
        </w:rPr>
        <w:t xml:space="preserve"> (0–100, likelihood of denial). These deterministic scores — derived from a per-payer rule book covering prior-authorisation thresholds, timely-filing windows, appeal windows and reimbursement rates — drive prioritisation and are fully explainable.</w:t>
      </w:r>
    </w:p>
    <w:p>
      <w:pPr>
        <w:pStyle w:val="Heading2"/>
        <w:spacing w:after="120" w:before="240"/>
      </w:pPr>
      <w:r>
        <w:rPr>
          <w:rFonts w:ascii="Calibri" w:cs="Calibri" w:eastAsia="Calibri" w:hAnsi="Calibri"/>
        </w:rPr>
        <w:t xml:space="preserve">3.3 Human-in-the-loop governance</w:t>
      </w:r>
    </w:p>
    <w:p>
      <w:pPr>
        <w:spacing w:after="140" w:line="276"/>
        <w:jc w:val="both"/>
      </w:pPr>
      <w:r>
        <w:rPr>
          <w:rFonts w:ascii="Calibri" w:cs="Calibri" w:eastAsia="Calibri" w:hAnsi="Calibri"/>
        </w:rPr>
        <w:t xml:space="preserve">Autonomy without guardrails is unacceptable in healthcare finance. Every agent decision carries one of three gates — AUTO, REVIEW or APPROVE — and auto-processing stops at the first gate that requires a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0392B" w:sz="24"/>
              <w:bottom w:val="single" w:color="CBD5E1" w:sz="4"/>
              <w:right w:val="single" w:color="CBD5E1" w:sz="4"/>
            </w:tcBorders>
            <w:shd w:fill="FDECEC" w:val="clear"/>
            <w:tcMar>
              <w:top w:type="dxa" w:w="120"/>
              <w:left w:type="dxa" w:w="200"/>
              <w:bottom w:type="dxa" w:w="120"/>
              <w:right w:type="dxa" w:w="160"/>
            </w:tcMar>
          </w:tcPr>
          <w:p>
            <w:pPr>
              <w:spacing w:after="60"/>
            </w:pPr>
            <w:r>
              <w:rPr>
                <w:rFonts w:ascii="Calibri" w:cs="Calibri" w:eastAsia="Calibri" w:hAnsi="Calibri"/>
                <w:b/>
                <w:bCs/>
                <w:color w:val="0B1F3A"/>
              </w:rPr>
              <w:t xml:space="preserve">Prohibited actions — never automated</w:t>
            </w:r>
          </w:p>
          <w:p>
            <w:pPr>
              <w:spacing w:after="40" w:line="264"/>
            </w:pPr>
            <w:r>
              <w:rPr>
                <w:rFonts w:ascii="Calibri" w:cs="Calibri" w:eastAsia="Calibri" w:hAnsi="Calibri"/>
              </w:rPr>
              <w:t xml:space="preserve">No auto-acceptance of low-confidence medical coding.</w:t>
            </w:r>
          </w:p>
          <w:p>
            <w:pPr>
              <w:spacing w:after="40" w:line="264"/>
            </w:pPr>
            <w:r>
              <w:rPr>
                <w:rFonts w:ascii="Calibri" w:cs="Calibri" w:eastAsia="Calibri" w:hAnsi="Calibri"/>
              </w:rPr>
              <w:t xml:space="preserve">No automatic write-off of recoverable claims.</w:t>
            </w:r>
          </w:p>
          <w:p>
            <w:pPr>
              <w:spacing w:after="40" w:line="264"/>
            </w:pPr>
            <w:r>
              <w:rPr>
                <w:rFonts w:ascii="Calibri" w:cs="Calibri" w:eastAsia="Calibri" w:hAnsi="Calibri"/>
              </w:rPr>
              <w:t xml:space="preserve">No submission of claims that fail scrubber edits (dirty claims are held).</w:t>
            </w:r>
          </w:p>
          <w:p>
            <w:pPr>
              <w:spacing w:after="40" w:line="264"/>
            </w:pPr>
            <w:r>
              <w:rPr>
                <w:rFonts w:ascii="Calibri" w:cs="Calibri" w:eastAsia="Calibri" w:hAnsi="Calibri"/>
              </w:rPr>
              <w:t xml:space="preserve">High-value and anomalous claims are always routed to the Fraud/Waste sentinel for review.</w:t>
            </w:r>
          </w:p>
        </w:tc>
      </w:tr>
    </w:tbl>
    <w:p>
      <w:r>
        <w:br w:type="page"/>
      </w:r>
    </w:p>
    <w:p>
      <w:pPr>
        <w:pStyle w:val="Heading1"/>
        <w:spacing w:after="160" w:before="320"/>
      </w:pPr>
      <w:r>
        <w:rPr>
          <w:rFonts w:ascii="Calibri" w:cs="Calibri" w:eastAsia="Calibri" w:hAnsi="Calibri"/>
        </w:rPr>
        <w:t xml:space="preserve">4. Platform Capabilities</w:t>
      </w:r>
    </w:p>
    <w:p>
      <w:pPr>
        <w:pStyle w:val="Heading2"/>
        <w:spacing w:after="120" w:before="240"/>
      </w:pPr>
      <w:r>
        <w:rPr>
          <w:rFonts w:ascii="Calibri" w:cs="Calibri" w:eastAsia="Calibri" w:hAnsi="Calibri"/>
        </w:rPr>
        <w:t xml:space="preserve">4.1 Standards-based integration</w:t>
      </w:r>
    </w:p>
    <w:p>
      <w:pPr>
        <w:pStyle w:val="ListParagraph"/>
        <w:numPr>
          <w:ilvl w:val="0"/>
          <w:numId w:val="2"/>
        </w:numPr>
        <w:spacing w:after="80" w:line="270"/>
      </w:pPr>
      <w:r>
        <w:rPr>
          <w:rFonts w:ascii="Calibri" w:cs="Calibri" w:eastAsia="Calibri" w:hAnsi="Calibri"/>
          <w:b/>
          <w:bCs/>
        </w:rPr>
        <w:t xml:space="preserve">Inbound:</w:t>
      </w:r>
      <w:r>
        <w:rPr>
          <w:rFonts w:ascii="Calibri" w:cs="Calibri" w:eastAsia="Calibri" w:hAnsi="Calibri"/>
        </w:rPr>
        <w:t xml:space="preserve"> native REST (single + batch claims, idempotent), HL7 FHIR R4 </w:t>
      </w:r>
      <w:r>
        <w:rPr>
          <w:rFonts w:ascii="Consolas" w:cs="Consolas" w:eastAsia="Consolas" w:hAnsi="Consolas"/>
          <w:color w:val="9A3412"/>
          <w:sz w:val="19"/>
          <w:szCs w:val="19"/>
        </w:rPr>
        <w:t xml:space="preserve">Claim</w:t>
      </w:r>
      <w:r>
        <w:rPr>
          <w:rFonts w:ascii="Calibri" w:cs="Calibri" w:eastAsia="Calibri" w:hAnsi="Calibri"/>
        </w:rPr>
        <w:t xml:space="preserve"> ingest/read, real-time eligibility pre-check, and PDF claim ingestion across hospital templates.</w:t>
      </w:r>
    </w:p>
    <w:p>
      <w:pPr>
        <w:pStyle w:val="ListParagraph"/>
        <w:numPr>
          <w:ilvl w:val="0"/>
          <w:numId w:val="2"/>
        </w:numPr>
        <w:spacing w:after="80" w:line="270"/>
      </w:pPr>
      <w:r>
        <w:rPr>
          <w:rFonts w:ascii="Calibri" w:cs="Calibri" w:eastAsia="Calibri" w:hAnsi="Calibri"/>
          <w:b/>
          <w:bCs/>
        </w:rPr>
        <w:t xml:space="preserve">Outbound:</w:t>
      </w:r>
      <w:r>
        <w:rPr>
          <w:rFonts w:ascii="Calibri" w:cs="Calibri" w:eastAsia="Calibri" w:hAnsi="Calibri"/>
        </w:rPr>
        <w:t xml:space="preserve"> HMAC-signed webhooks for lifecycle events with automatic retries; JSON / Prometheus metrics; CSV exports.</w:t>
      </w:r>
    </w:p>
    <w:p>
      <w:pPr>
        <w:pStyle w:val="ListParagraph"/>
        <w:numPr>
          <w:ilvl w:val="0"/>
          <w:numId w:val="2"/>
        </w:numPr>
        <w:spacing w:after="80" w:line="270"/>
      </w:pPr>
      <w:r>
        <w:rPr>
          <w:rFonts w:ascii="Calibri" w:cs="Calibri" w:eastAsia="Calibri" w:hAnsi="Calibri"/>
          <w:b/>
          <w:bCs/>
        </w:rPr>
        <w:t xml:space="preserve">Developer experience:</w:t>
      </w:r>
      <w:r>
        <w:rPr>
          <w:rFonts w:ascii="Calibri" w:cs="Calibri" w:eastAsia="Calibri" w:hAnsi="Calibri"/>
        </w:rPr>
        <w:t xml:space="preserve"> an OpenAPI 3 specification and a built-in Swagger UI at </w:t>
      </w:r>
      <w:r>
        <w:rPr>
          <w:rFonts w:ascii="Consolas" w:cs="Consolas" w:eastAsia="Consolas" w:hAnsi="Consolas"/>
          <w:color w:val="9A3412"/>
          <w:sz w:val="19"/>
          <w:szCs w:val="19"/>
        </w:rPr>
        <w:t xml:space="preserve">/docs</w:t>
      </w:r>
      <w:r>
        <w:rPr>
          <w:rFonts w:ascii="Calibri" w:cs="Calibri" w:eastAsia="Calibri" w:hAnsi="Calibri"/>
        </w:rPr>
        <w:t xml:space="preserve">.</w:t>
      </w:r>
    </w:p>
    <w:p>
      <w:pPr>
        <w:pStyle w:val="Heading2"/>
        <w:spacing w:after="120" w:before="240"/>
      </w:pPr>
      <w:r>
        <w:rPr>
          <w:rFonts w:ascii="Calibri" w:cs="Calibri" w:eastAsia="Calibri" w:hAnsi="Calibri"/>
        </w:rPr>
        <w:t xml:space="preserve">4.2 A flexible AI foundation</w:t>
      </w:r>
    </w:p>
    <w:p>
      <w:pPr>
        <w:spacing w:after="140" w:line="276"/>
        <w:jc w:val="both"/>
      </w:pPr>
      <w:r>
        <w:rPr>
          <w:rFonts w:ascii="Calibri" w:cs="Calibri" w:eastAsia="Calibri" w:hAnsi="Calibri"/>
        </w:rPr>
        <w:t xml:space="preserve">The conversational RCM assistant and the vision-based PDF extractor run on a pluggable AI layer. Organisations choose the model that fits their cost, performance and privacy needs — a bundled provider, any OpenAI-compatible endpoint, Anthropic Claude, or a fully local model via Ollama — with automatic failover and a deterministic knowledge-base fallback. Selecting the local provider keeps all prompts and patient documents on-premise.</w:t>
      </w:r>
    </w:p>
    <w:p>
      <w:pPr>
        <w:pStyle w:val="Heading2"/>
        <w:spacing w:after="120" w:before="240"/>
      </w:pPr>
      <w:r>
        <w:rPr>
          <w:rFonts w:ascii="Calibri" w:cs="Calibri" w:eastAsia="Calibri" w:hAnsi="Calibri"/>
        </w:rPr>
        <w:t xml:space="preserve">4.3 Enterprise security &amp; compliance</w:t>
      </w:r>
    </w:p>
    <w:p>
      <w:pPr>
        <w:pStyle w:val="ListParagraph"/>
        <w:numPr>
          <w:ilvl w:val="0"/>
          <w:numId w:val="2"/>
        </w:numPr>
        <w:spacing w:after="80" w:line="270"/>
      </w:pPr>
      <w:r>
        <w:rPr>
          <w:rFonts w:ascii="Calibri" w:cs="Calibri" w:eastAsia="Calibri" w:hAnsi="Calibri"/>
          <w:b/>
          <w:bCs/>
        </w:rPr>
        <w:t xml:space="preserve">Role-based access control:</w:t>
      </w:r>
      <w:r>
        <w:rPr>
          <w:rFonts w:ascii="Calibri" w:cs="Calibri" w:eastAsia="Calibri" w:hAnsi="Calibri"/>
        </w:rPr>
        <w:t xml:space="preserve"> five roles (Admin, RCM Manager, Biller, Compliance, Viewer) mapped to a capability matrix, enforced by both the UI and the API.</w:t>
      </w:r>
    </w:p>
    <w:p>
      <w:pPr>
        <w:pStyle w:val="ListParagraph"/>
        <w:numPr>
          <w:ilvl w:val="0"/>
          <w:numId w:val="2"/>
        </w:numPr>
        <w:spacing w:after="80" w:line="270"/>
      </w:pPr>
      <w:r>
        <w:rPr>
          <w:rFonts w:ascii="Calibri" w:cs="Calibri" w:eastAsia="Calibri" w:hAnsi="Calibri"/>
          <w:b/>
          <w:bCs/>
        </w:rPr>
        <w:t xml:space="preserve">Data protection:</w:t>
      </w:r>
      <w:r>
        <w:rPr>
          <w:rFonts w:ascii="Calibri" w:cs="Calibri" w:eastAsia="Calibri" w:hAnsi="Calibri"/>
        </w:rPr>
        <w:t xml:space="preserve"> AES-256-GCM encryption of sensitive fields at rest, scrypt-hashed passwords, signed HttpOnly sessions, and constant-time credential checks.</w:t>
      </w:r>
    </w:p>
    <w:p>
      <w:pPr>
        <w:pStyle w:val="ListParagraph"/>
        <w:numPr>
          <w:ilvl w:val="0"/>
          <w:numId w:val="2"/>
        </w:numPr>
        <w:spacing w:after="80" w:line="270"/>
      </w:pPr>
      <w:r>
        <w:rPr>
          <w:rFonts w:ascii="Calibri" w:cs="Calibri" w:eastAsia="Calibri" w:hAnsi="Calibri"/>
          <w:b/>
          <w:bCs/>
        </w:rPr>
        <w:t xml:space="preserve">Hardening:</w:t>
      </w:r>
      <w:r>
        <w:rPr>
          <w:rFonts w:ascii="Calibri" w:cs="Calibri" w:eastAsia="Calibri" w:hAnsi="Calibri"/>
        </w:rPr>
        <w:t xml:space="preserve"> fail-closed-in-production API auth, scoped API keys, rate limiting, SSRF protection on outbound webhooks, and an immutable audit trail — validated by an adversarial security review and an automated test suite.</w:t>
      </w:r>
    </w:p>
    <w:p>
      <w:pPr>
        <w:pStyle w:val="Heading1"/>
        <w:spacing w:after="160" w:before="320"/>
      </w:pPr>
      <w:r>
        <w:rPr>
          <w:rFonts w:ascii="Calibri" w:cs="Calibri" w:eastAsia="Calibri" w:hAnsi="Calibri"/>
        </w:rPr>
        <w:t xml:space="preserve">5.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Layer</w:t>
            </w:r>
          </w:p>
        </w:tc>
        <w:tc>
          <w:tcPr>
            <w:tcW w:type="dxa" w:w="746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Role</w:t>
            </w:r>
          </w:p>
        </w:tc>
      </w:tr>
      <w:tr>
        <w:tc>
          <w:tcPr>
            <w:tcW w:type="dxa" w:w="1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Presentation</w:t>
            </w:r>
          </w:p>
        </w:tc>
        <w:tc>
          <w:tcPr>
            <w:tcW w:type="dxa" w:w="74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Bilingual (EN/AR, RTL) dashboard, claims, analytics, audit and assistant — Next.js 16 / React 19.</w:t>
            </w:r>
          </w:p>
        </w:tc>
      </w:tr>
      <w:tr>
        <w:tc>
          <w:tcPr>
            <w:tcW w:type="dxa" w:w="1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API gateway</w:t>
            </w:r>
          </w:p>
        </w:tc>
        <w:tc>
          <w:tcPr>
            <w:tcW w:type="dxa" w:w="74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Internal UI endpoints + the authenticated /api/v1 integration surface, with Edge middleware (auth gate, CORS, rate limit).</w:t>
            </w:r>
          </w:p>
        </w:tc>
      </w:tr>
      <w:tr>
        <w:tc>
          <w:tcPr>
            <w:tcW w:type="dxa" w:w="1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Service layer</w:t>
            </w:r>
          </w:p>
        </w:tc>
        <w:tc>
          <w:tcPr>
            <w:tcW w:type="dxa" w:w="74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Engine orchestration, persistence, audit logging, escalations and event dispatch.</w:t>
            </w:r>
          </w:p>
        </w:tc>
      </w:tr>
      <w:tr>
        <w:tc>
          <w:tcPr>
            <w:tcW w:type="dxa" w:w="1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RCM engine</w:t>
            </w:r>
          </w:p>
        </w:tc>
        <w:tc>
          <w:tcPr>
            <w:tcW w:type="dxa" w:w="74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Pure, deterministic, explainable claim processing, scoring and payer rules.</w:t>
            </w:r>
          </w:p>
        </w:tc>
      </w:tr>
      <w:tr>
        <w:tc>
          <w:tcPr>
            <w:tcW w:type="dxa" w:w="1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AI layer</w:t>
            </w:r>
          </w:p>
        </w:tc>
        <w:tc>
          <w:tcPr>
            <w:tcW w:type="dxa" w:w="74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Pluggable LLM/VLM router with failover across cloud and local providers.</w:t>
            </w:r>
          </w:p>
        </w:tc>
      </w:tr>
      <w:tr>
        <w:tc>
          <w:tcPr>
            <w:tcW w:type="dxa" w:w="1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Persistence</w:t>
            </w:r>
          </w:p>
        </w:tc>
        <w:tc>
          <w:tcPr>
            <w:tcW w:type="dxa" w:w="74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Prisma ORM — SQLite by default, PostgreSQL/MySQL-ready for scale-out.</w:t>
            </w:r>
          </w:p>
        </w:tc>
      </w:tr>
    </w:tbl>
    <w:p>
      <w:pPr>
        <w:pStyle w:val="Heading1"/>
        <w:spacing w:after="160" w:before="320"/>
      </w:pPr>
      <w:r>
        <w:rPr>
          <w:rFonts w:ascii="Calibri" w:cs="Calibri" w:eastAsia="Calibri" w:hAnsi="Calibri"/>
        </w:rPr>
        <w:t xml:space="preserve">6. Business Case &amp; KPIs</w:t>
      </w:r>
    </w:p>
    <w:p>
      <w:pPr>
        <w:spacing w:after="140" w:line="276"/>
        <w:jc w:val="both"/>
      </w:pPr>
      <w:r>
        <w:rPr>
          <w:rFonts w:ascii="Calibri" w:cs="Calibri" w:eastAsia="Calibri" w:hAnsi="Calibri"/>
        </w:rPr>
        <w:t xml:space="preserve">Veebase targets the metrics that determine a provider’s financial health, tracking them continuously on the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KPI</w:t>
            </w:r>
          </w:p>
        </w:tc>
        <w:tc>
          <w:tcPr>
            <w:tcW w:type="dxa" w:w="258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Current</w:t>
            </w:r>
          </w:p>
        </w:tc>
        <w:tc>
          <w:tcPr>
            <w:tcW w:type="dxa" w:w="258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Target</w:t>
            </w:r>
          </w:p>
        </w:tc>
      </w:tr>
      <w:tr>
        <w:tc>
          <w:tcPr>
            <w:tcW w:type="dxa" w:w="4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First-Pass Claim Rate</w:t>
            </w:r>
          </w:p>
        </w:tc>
        <w:tc>
          <w:tcPr>
            <w:tcW w:type="dxa" w:w="25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92.4%</w:t>
            </w:r>
          </w:p>
        </w:tc>
        <w:tc>
          <w:tcPr>
            <w:tcW w:type="dxa" w:w="25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94%</w:t>
            </w:r>
          </w:p>
        </w:tc>
      </w:tr>
      <w:tr>
        <w:tc>
          <w:tcPr>
            <w:tcW w:type="dxa" w:w="42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Denial Rate</w:t>
            </w:r>
          </w:p>
        </w:tc>
        <w:tc>
          <w:tcPr>
            <w:tcW w:type="dxa" w:w="258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5.2%</w:t>
            </w:r>
          </w:p>
        </w:tc>
        <w:tc>
          <w:tcPr>
            <w:tcW w:type="dxa" w:w="258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4%</w:t>
            </w:r>
          </w:p>
        </w:tc>
      </w:tr>
      <w:tr>
        <w:tc>
          <w:tcPr>
            <w:tcW w:type="dxa" w:w="4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Preventable Denial Rate</w:t>
            </w:r>
          </w:p>
        </w:tc>
        <w:tc>
          <w:tcPr>
            <w:tcW w:type="dxa" w:w="25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1.8%</w:t>
            </w:r>
          </w:p>
        </w:tc>
        <w:tc>
          <w:tcPr>
            <w:tcW w:type="dxa" w:w="25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2%</w:t>
            </w:r>
          </w:p>
        </w:tc>
      </w:tr>
      <w:tr>
        <w:tc>
          <w:tcPr>
            <w:tcW w:type="dxa" w:w="42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Appeal Overturn Rate</w:t>
            </w:r>
          </w:p>
        </w:tc>
        <w:tc>
          <w:tcPr>
            <w:tcW w:type="dxa" w:w="258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64.3%</w:t>
            </w:r>
          </w:p>
        </w:tc>
        <w:tc>
          <w:tcPr>
            <w:tcW w:type="dxa" w:w="258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60%</w:t>
            </w:r>
          </w:p>
        </w:tc>
      </w:tr>
      <w:tr>
        <w:tc>
          <w:tcPr>
            <w:tcW w:type="dxa" w:w="4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AR Days</w:t>
            </w:r>
          </w:p>
        </w:tc>
        <w:tc>
          <w:tcPr>
            <w:tcW w:type="dxa" w:w="25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42</w:t>
            </w:r>
          </w:p>
        </w:tc>
        <w:tc>
          <w:tcPr>
            <w:tcW w:type="dxa" w:w="25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40</w:t>
            </w:r>
          </w:p>
        </w:tc>
      </w:tr>
      <w:tr>
        <w:tc>
          <w:tcPr>
            <w:tcW w:type="dxa" w:w="42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Net Collection Rate</w:t>
            </w:r>
          </w:p>
        </w:tc>
        <w:tc>
          <w:tcPr>
            <w:tcW w:type="dxa" w:w="258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95.7%</w:t>
            </w:r>
          </w:p>
        </w:tc>
        <w:tc>
          <w:tcPr>
            <w:tcW w:type="dxa" w:w="258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96%</w:t>
            </w:r>
          </w:p>
        </w:tc>
      </w:tr>
      <w:tr>
        <w:tc>
          <w:tcPr>
            <w:tcW w:type="dxa" w:w="4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Prior-Auth Approval Rate</w:t>
            </w:r>
          </w:p>
        </w:tc>
        <w:tc>
          <w:tcPr>
            <w:tcW w:type="dxa" w:w="25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82.1%</w:t>
            </w:r>
          </w:p>
        </w:tc>
        <w:tc>
          <w:tcPr>
            <w:tcW w:type="dxa" w:w="25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85%</w:t>
            </w:r>
          </w:p>
        </w:tc>
      </w:tr>
      <w:tr>
        <w:tc>
          <w:tcPr>
            <w:tcW w:type="dxa" w:w="42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Patient Collection Rate</w:t>
            </w:r>
          </w:p>
        </w:tc>
        <w:tc>
          <w:tcPr>
            <w:tcW w:type="dxa" w:w="258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71.4%</w:t>
            </w:r>
          </w:p>
        </w:tc>
        <w:tc>
          <w:tcPr>
            <w:tcW w:type="dxa" w:w="258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80%</w:t>
            </w:r>
          </w:p>
        </w:tc>
      </w:tr>
    </w:tbl>
    <w:p>
      <w:pPr>
        <w:spacing w:after="40"/>
      </w:pPr>
      <w:r>
        <w:rPr>
          <w:rFonts w:ascii="Calibri" w:cs="Calibri" w:eastAsia="Calibri" w:hAnsi="Calibri"/>
        </w:rPr>
        <w:t xml:space="preserve"/>
      </w:r>
    </w:p>
    <w:p>
      <w:pPr>
        <w:spacing w:after="140" w:line="276"/>
        <w:jc w:val="both"/>
      </w:pPr>
      <w:r>
        <w:rPr>
          <w:rFonts w:ascii="Calibri" w:cs="Calibri" w:eastAsia="Calibri" w:hAnsi="Calibri"/>
        </w:rPr>
        <w:t xml:space="preserve">The value levers are direct: fewer preventable denials (recovered revenue), faster clean-claim submission (compressed AR days), exception-only staffing (lower cost-to-collect), and charge-capture and fraud screening (revenue integrity). A detailed, assumption-driven ROI model is provided in the companion "Use Cases &amp; ROI" document.</w:t>
      </w:r>
    </w:p>
    <w:p>
      <w:pPr>
        <w:pStyle w:val="Heading1"/>
        <w:spacing w:after="160" w:before="320"/>
      </w:pPr>
      <w:r>
        <w:rPr>
          <w:rFonts w:ascii="Calibri" w:cs="Calibri" w:eastAsia="Calibri" w:hAnsi="Calibri"/>
        </w:rPr>
        <w:t xml:space="preserve">7. Adoption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6060"/>
      </w:tblGrid>
      <w:tr>
        <w:trPr>
          <w:tblHeader/>
        </w:trPr>
        <w:tc>
          <w:tcPr>
            <w:tcW w:type="dxa" w:w="14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Phase</w:t>
            </w:r>
          </w:p>
        </w:tc>
        <w:tc>
          <w:tcPr>
            <w:tcW w:type="dxa" w:w="19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Mode</w:t>
            </w:r>
          </w:p>
        </w:tc>
        <w:tc>
          <w:tcPr>
            <w:tcW w:type="dxa" w:w="606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Description</w:t>
            </w:r>
          </w:p>
        </w:tc>
      </w:tr>
      <w:tr>
        <w:tc>
          <w:tcPr>
            <w:tcW w:type="dxa" w:w="1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Phase 1</w:t>
            </w:r>
          </w:p>
        </w:tc>
        <w:tc>
          <w:tcPr>
            <w:tcW w:type="dxa" w:w="1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Assistive</w:t>
            </w:r>
          </w:p>
        </w:tc>
        <w:tc>
          <w:tcPr>
            <w:tcW w:type="dxa" w:w="60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Agents recommend; humans approve at REVIEW/APPROVE gates. (Current.)</w:t>
            </w:r>
          </w:p>
        </w:tc>
      </w:tr>
      <w:tr>
        <w:tc>
          <w:tcPr>
            <w:tcW w:type="dxa" w:w="14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Phase 2</w:t>
            </w:r>
          </w:p>
        </w:tc>
        <w:tc>
          <w:tcPr>
            <w:tcW w:type="dxa" w:w="1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Supervised</w:t>
            </w:r>
          </w:p>
        </w:tc>
        <w:tc>
          <w:tcPr>
            <w:tcW w:type="dxa" w:w="60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Expanded auto-handling of proven low-risk paths; humans supervise by exception.</w:t>
            </w:r>
          </w:p>
        </w:tc>
      </w:tr>
      <w:tr>
        <w:tc>
          <w:tcPr>
            <w:tcW w:type="dxa" w:w="1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Phase 3</w:t>
            </w:r>
          </w:p>
        </w:tc>
        <w:tc>
          <w:tcPr>
            <w:tcW w:type="dxa" w:w="1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Scaled</w:t>
            </w:r>
          </w:p>
        </w:tc>
        <w:tc>
          <w:tcPr>
            <w:tcW w:type="dxa" w:w="60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color w:val="1F2937"/>
                <w:sz w:val="19"/>
                <w:szCs w:val="19"/>
              </w:rPr>
              <w:t xml:space="preserve">Broad autonomy for routine claims; humans focus on complex, high-value cases.</w:t>
            </w:r>
          </w:p>
        </w:tc>
      </w:tr>
    </w:tbl>
    <w:p>
      <w:pPr>
        <w:pStyle w:val="Heading1"/>
        <w:spacing w:after="160" w:before="320"/>
      </w:pPr>
      <w:r>
        <w:rPr>
          <w:rFonts w:ascii="Calibri" w:cs="Calibri" w:eastAsia="Calibri" w:hAnsi="Calibri"/>
        </w:rPr>
        <w:t xml:space="preserve">8. Conclusion</w:t>
      </w:r>
    </w:p>
    <w:p>
      <w:pPr>
        <w:spacing w:after="140" w:line="276"/>
        <w:jc w:val="both"/>
      </w:pPr>
      <w:r>
        <w:rPr>
          <w:rFonts w:ascii="Calibri" w:cs="Calibri" w:eastAsia="Calibri" w:hAnsi="Calibri"/>
        </w:rPr>
        <w:t xml:space="preserve">Veebase RCM Intelligence Platform combines the speed of autonomous agents with the safety of human governance, the openness of standards-based integration, a pluggable AI foundation that runs in the cloud or fully on-premise, and enterprise-grade access control and data protection — all with the local fluency of a bilingual, NHIA-aware design. It does not merely digitise the revenue cycle; it operates it, end to end, while keeping clinicians and billers in command of every consequential decision.</w:t>
      </w:r>
    </w:p>
    <w:p>
      <w:pPr>
        <w:spacing w:after="120"/>
      </w:pPr>
      <w:r>
        <w:rPr>
          <w:rFonts w:ascii="Calibri" w:cs="Calibri" w:eastAsia="Calibri" w:hAnsi="Calibri"/>
        </w:rPr>
        <w:t xml:space="preserve"/>
      </w:r>
    </w:p>
    <w:p>
      <w:pPr>
        <w:spacing w:after="140" w:line="276"/>
      </w:pPr>
      <w:r>
        <w:rPr>
          <w:rFonts w:ascii="Calibri" w:cs="Calibri" w:eastAsia="Calibri" w:hAnsi="Calibri"/>
        </w:rPr>
        <w:t xml:space="preserve">© 2026 Veebase. This whitepaper describes platform capabilities; KPI and ROI figures are illustrative.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Calibri" w:cs="Calibri" w:eastAsia="Calibri" w:hAnsi="Calibri"/>
        <w:color w:val="6B7280"/>
        <w:sz w:val="16"/>
        <w:szCs w:val="16"/>
      </w:rPr>
      <w:t xml:space="preserve">Veebase RCM Intelligence Platform</w:t>
    </w:r>
    <w:r>
      <w:rPr>
        <w:rFonts w:ascii="Calibri" w:cs="Calibri" w:eastAsia="Calibri" w:hAnsi="Calibri"/>
        <w:color w:val="6B7280"/>
        <w:sz w:val="16"/>
        <w:szCs w:val="16"/>
      </w:rPr>
      <w:t xml:space="preserve">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Step %1."/>
      <w:lvlJc w:val="left"/>
      <w:pPr>
        <w:ind w:left="72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6FB8" w:sz="8" w:space="6"/>
      </w:pBdr>
      <w:spacing w:after="160" w:before="320"/>
      <w:outlineLvl w:val="0"/>
    </w:pPr>
    <w:rPr>
      <w:rFonts w:ascii="Calibri" w:cs="Calibri" w:eastAsia="Calibri" w:hAnsi="Calibri"/>
      <w:b/>
      <w:bCs/>
      <w:color w:val="0B1F3A"/>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D6FB8"/>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0E7C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Veebase RCM Whitepaper</dc:title>
  <dc:creator>Veebase</dc:creator>
  <dc:description>Veebase RCM Intelligence Platform</dc:description>
  <cp:lastModifiedBy>Un-named</cp:lastModifiedBy>
  <cp:revision>1</cp:revision>
  <dcterms:created xsi:type="dcterms:W3CDTF">2026-06-13T07:31:38.174Z</dcterms:created>
  <dcterms:modified xsi:type="dcterms:W3CDTF">2026-06-13T07:31:38.174Z</dcterms:modified>
</cp:coreProperties>
</file>

<file path=docProps/custom.xml><?xml version="1.0" encoding="utf-8"?>
<Properties xmlns="http://schemas.openxmlformats.org/officeDocument/2006/custom-properties" xmlns:vt="http://schemas.openxmlformats.org/officeDocument/2006/docPropsVTypes"/>
</file>