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Calibri" w:cs="Calibri" w:eastAsia="Calibri" w:hAnsi="Calibri"/>
          <w:b/>
          <w:bCs/>
          <w:color w:val="1D6FB8"/>
          <w:spacing w:val="60"/>
          <w:sz w:val="56"/>
          <w:szCs w:val="56"/>
        </w:rPr>
        <w:t xml:space="preserve">VEEBASE</w:t>
      </w:r>
    </w:p>
    <w:p>
      <w:pPr>
        <w:spacing w:after="40"/>
        <w:jc w:val="center"/>
      </w:pPr>
      <w:r>
        <w:rPr>
          <w:rFonts w:ascii="Calibri" w:cs="Calibri" w:eastAsia="Calibri" w:hAnsi="Calibri"/>
          <w:b/>
          <w:bCs/>
          <w:color w:val="0B1F3A"/>
          <w:sz w:val="36"/>
          <w:szCs w:val="36"/>
        </w:rPr>
        <w:t xml:space="preserve">RCM INTELLIGENCE PLATFORM</w:t>
      </w:r>
    </w:p>
    <w:p>
      <w:pPr>
        <w:pBdr>
          <w:bottom w:val="single" w:color="0E7C7B" w:sz="12" w:space="8"/>
        </w:pBdr>
        <w:spacing w:after="240"/>
        <w:jc w:val="center"/>
      </w:pPr>
      <w:r>
        <w:rPr>
          <w:rFonts w:ascii="Calibri" w:cs="Calibri" w:eastAsia="Calibri" w:hAnsi="Calibri"/>
        </w:rPr>
        <w:t xml:space="preserve"/>
      </w:r>
    </w:p>
    <w:p>
      <w:pPr>
        <w:spacing w:after="200"/>
        <w:jc w:val="center"/>
      </w:pPr>
      <w:r>
        <w:rPr>
          <w:rFonts w:ascii="Calibri" w:cs="Calibri" w:eastAsia="Calibri" w:hAnsi="Calibri"/>
          <w:b w:val="false"/>
          <w:bCs w:val="false"/>
          <w:color w:val="0E7C7B"/>
          <w:sz w:val="26"/>
          <w:szCs w:val="26"/>
        </w:rPr>
        <w:t xml:space="preserve">Agentic AI for Healthcare Revenue Cycle Management</w:t>
      </w:r>
    </w:p>
    <w:p>
      <w:pPr>
        <w:spacing w:after="700"/>
        <w:jc w:val="center"/>
      </w:pPr>
      <w:r>
        <w:rPr>
          <w:rFonts w:ascii="Calibri" w:cs="Calibri" w:eastAsia="Calibri" w:hAnsi="Calibri"/>
          <w:b w:val="false"/>
          <w:bCs w:val="false"/>
          <w:color w:val="6B7280"/>
          <w:sz w:val="21"/>
          <w:szCs w:val="21"/>
        </w:rPr>
        <w:t xml:space="preserve">Solution Overview · Use Cases · Operating Guide · Business Benefits</w:t>
      </w:r>
    </w:p>
    <w:p>
      <w:pPr>
        <w:spacing w:after="40"/>
        <w:jc w:val="center"/>
      </w:pPr>
      <w:r>
        <w:rPr>
          <w:rFonts w:ascii="Calibri" w:cs="Calibri" w:eastAsia="Calibri" w:hAnsi="Calibri"/>
          <w:color w:val="374151"/>
          <w:sz w:val="22"/>
          <w:szCs w:val="22"/>
        </w:rPr>
        <w:t xml:space="preserve">A 12-agent autonomous platform that takes a claim from eligibility to</w:t>
      </w:r>
    </w:p>
    <w:p>
      <w:pPr>
        <w:spacing w:after="700"/>
        <w:jc w:val="center"/>
      </w:pPr>
      <w:r>
        <w:rPr>
          <w:rFonts w:ascii="Calibri" w:cs="Calibri" w:eastAsia="Calibri" w:hAnsi="Calibri"/>
          <w:color w:val="374151"/>
          <w:sz w:val="22"/>
          <w:szCs w:val="22"/>
        </w:rPr>
        <w:t xml:space="preserve">payment — under human-in-the-loop governance.</w:t>
      </w:r>
    </w:p>
    <w:p>
      <w:pPr>
        <w:spacing w:after="30"/>
        <w:jc w:val="center"/>
      </w:pPr>
      <w:r>
        <w:rPr>
          <w:rFonts w:ascii="Calibri" w:cs="Calibri" w:eastAsia="Calibri" w:hAnsi="Calibri"/>
          <w:b/>
          <w:bCs/>
          <w:color w:val="0B1F3A"/>
          <w:sz w:val="22"/>
          <w:szCs w:val="22"/>
        </w:rPr>
        <w:t xml:space="preserve">Technical &amp; Business Document</w:t>
      </w:r>
    </w:p>
    <w:p>
      <w:pPr>
        <w:spacing w:after="30"/>
        <w:jc w:val="center"/>
      </w:pPr>
      <w:r>
        <w:rPr>
          <w:rFonts w:ascii="Calibri" w:cs="Calibri" w:eastAsia="Calibri" w:hAnsi="Calibri"/>
          <w:b w:val="false"/>
          <w:bCs w:val="false"/>
          <w:color w:val="6B7280"/>
          <w:sz w:val="20"/>
          <w:szCs w:val="20"/>
        </w:rPr>
        <w:t xml:space="preserve">Version 1.0  ·  2026</w:t>
      </w:r>
    </w:p>
    <w:p>
      <w:r>
        <w:br w:type="page"/>
      </w:r>
    </w:p>
    <w:p>
      <w:pPr>
        <w:sectPr>
          <w:pgSz w:w="12240" w:h="15840" w:orient="portrait"/>
          <w:pgMar w:top="1440" w:right="1440" w:bottom="1440" w:left="1440" w:header="708" w:footer="708" w:gutter="0"/>
          <w:pgNumType/>
          <w:docGrid w:linePitch="360"/>
        </w:sectPr>
      </w:pPr>
    </w:p>
    <w:p>
      <w:pPr>
        <w:pStyle w:val="Heading1"/>
        <w:spacing w:after="160"/>
      </w:pPr>
      <w:r>
        <w:rPr>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Calibri" w:cs="Calibri" w:eastAsia="Calibri" w:hAnsi="Calibri"/>
        </w:rPr>
        <w:t xml:space="preserve">1. Executive Summary</w:t>
      </w:r>
    </w:p>
    <w:p>
      <w:pPr>
        <w:spacing w:after="140" w:line="276"/>
        <w:jc w:val="both"/>
      </w:pPr>
      <w:r>
        <w:rPr>
          <w:rFonts w:ascii="Calibri" w:cs="Calibri" w:eastAsia="Calibri" w:hAnsi="Calibri"/>
        </w:rPr>
        <w:t xml:space="preserve">Veebase RCM Intelligence Platform is an agentic-AI system that automates the healthcare revenue cycle — the end-to-end process that turns a clinical encounter into collected revenue. It orchestrates twelve specialised AI agents that move a claim through every stage of its lifecycle, from insurance eligibility verification to final payment posting, while keeping clinicians and billing staff in control through an explicit human-in-the-loop (HITL) governance model.</w:t>
      </w:r>
    </w:p>
    <w:p>
      <w:pPr>
        <w:spacing w:after="140" w:line="276"/>
        <w:jc w:val="both"/>
      </w:pPr>
      <w:r>
        <w:rPr>
          <w:rFonts w:ascii="Calibri" w:cs="Calibri" w:eastAsia="Calibri" w:hAnsi="Calibri"/>
        </w:rPr>
        <w:t xml:space="preserve">The platform is purpose-built for the Egyptian and wider MENA healthcare market. It understands the National Health Insurance Authority (NHIA), private payers and self-pay patients; it works in Egyptian Pounds (EGP); and it is fully bilingual, with a complete English and Arabic interface including right-to-left layout.</w:t>
      </w:r>
    </w:p>
    <w:p>
      <w:pPr>
        <w:spacing w:after="140" w:line="276"/>
        <w:jc w:val="both"/>
      </w:pPr>
      <w:r>
        <w:rPr>
          <w:rFonts w:ascii="Calibri" w:cs="Calibri" w:eastAsia="Calibri" w:hAnsi="Calibri"/>
        </w:rPr>
        <w:t xml:space="preserve">Crucially, Veebase is not a closed dashboard. It is engineered to integrate with any system — inbound and outbound. Hospital information systems can submit claims as native JSON or as HL7 FHIR R4 resources; the platform exposes a documented REST API secured with API keys; and it pushes real-time, cryptographically signed webhook events to any downstream system as claims progress.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4"/>
              <w:left w:val="single" w:color="1D6FB8" w:sz="24"/>
              <w:bottom w:val="single" w:color="CBD5E1" w:sz="4"/>
              <w:right w:val="single" w:color="CBD5E1" w:sz="4"/>
            </w:tcBorders>
            <w:shd w:fill="EAF2FA" w:val="clear"/>
            <w:tcMar>
              <w:top w:type="dxa" w:w="120"/>
              <w:left w:type="dxa" w:w="200"/>
              <w:bottom w:type="dxa" w:w="120"/>
              <w:right w:type="dxa" w:w="160"/>
            </w:tcMar>
          </w:tcPr>
          <w:p>
            <w:pPr>
              <w:spacing w:after="60"/>
            </w:pPr>
            <w:r>
              <w:rPr>
                <w:rFonts w:ascii="Calibri" w:cs="Calibri" w:eastAsia="Calibri" w:hAnsi="Calibri"/>
                <w:b/>
                <w:bCs/>
                <w:color w:val="0B1F3A"/>
              </w:rPr>
              <w:t xml:space="preserve">At a glance</w:t>
            </w:r>
          </w:p>
          <w:p>
            <w:pPr>
              <w:spacing w:after="40" w:line="264"/>
            </w:pPr>
            <w:r>
              <w:rPr>
                <w:rFonts w:ascii="Calibri" w:cs="Calibri" w:eastAsia="Calibri" w:hAnsi="Calibri"/>
                <w:b/>
                <w:bCs/>
              </w:rPr>
              <w:t xml:space="preserve">Twelve AI agents</w:t>
            </w:r>
            <w:r>
              <w:rPr>
                <w:rFonts w:ascii="Calibri" w:cs="Calibri" w:eastAsia="Calibri" w:hAnsi="Calibri"/>
              </w:rPr>
              <w:t xml:space="preserve"> across four functional categories drive the claim lifecycle.</w:t>
            </w:r>
          </w:p>
          <w:p>
            <w:pPr>
              <w:spacing w:after="40" w:line="264"/>
            </w:pPr>
            <w:r>
              <w:rPr>
                <w:rFonts w:ascii="Calibri" w:cs="Calibri" w:eastAsia="Calibri" w:hAnsi="Calibri"/>
                <w:b/>
                <w:bCs/>
              </w:rPr>
              <w:t xml:space="preserve">Deterministic, explainable engine</w:t>
            </w:r>
            <w:r>
              <w:rPr>
                <w:rFonts w:ascii="Calibri" w:cs="Calibri" w:eastAsia="Calibri" w:hAnsi="Calibri"/>
              </w:rPr>
              <w:t xml:space="preserve"> scores claim readiness and denial risk at every stage.</w:t>
            </w:r>
          </w:p>
          <w:p>
            <w:pPr>
              <w:spacing w:after="40" w:line="264"/>
            </w:pPr>
            <w:r>
              <w:rPr>
                <w:rFonts w:ascii="Calibri" w:cs="Calibri" w:eastAsia="Calibri" w:hAnsi="Calibri"/>
                <w:b/>
                <w:bCs/>
              </w:rPr>
              <w:t xml:space="preserve">Human-in-the-loop governance</w:t>
            </w:r>
            <w:r>
              <w:rPr>
                <w:rFonts w:ascii="Calibri" w:cs="Calibri" w:eastAsia="Calibri" w:hAnsi="Calibri"/>
              </w:rPr>
              <w:t xml:space="preserve"> — the system never auto-performs prohibited actions.</w:t>
            </w:r>
          </w:p>
          <w:p>
            <w:pPr>
              <w:spacing w:after="40" w:line="264"/>
            </w:pPr>
            <w:r>
              <w:rPr>
                <w:rFonts w:ascii="Calibri" w:cs="Calibri" w:eastAsia="Calibri" w:hAnsi="Calibri"/>
                <w:b/>
                <w:bCs/>
              </w:rPr>
              <w:t xml:space="preserve">Integrate in &amp; out</w:t>
            </w:r>
            <w:r>
              <w:rPr>
                <w:rFonts w:ascii="Calibri" w:cs="Calibri" w:eastAsia="Calibri" w:hAnsi="Calibri"/>
              </w:rPr>
              <w:t xml:space="preserve"> — REST + FHIR R4 inbound, signed webhooks outbound, OpenAPI documented.</w:t>
            </w:r>
          </w:p>
          <w:p>
            <w:pPr>
              <w:spacing w:after="40" w:line="264"/>
            </w:pPr>
            <w:r>
              <w:rPr>
                <w:rFonts w:ascii="Calibri" w:cs="Calibri" w:eastAsia="Calibri" w:hAnsi="Calibri"/>
                <w:b/>
                <w:bCs/>
              </w:rPr>
              <w:t xml:space="preserve">Bilingual (EN/AR) with RTL</w:t>
            </w:r>
            <w:r>
              <w:rPr>
                <w:rFonts w:ascii="Calibri" w:cs="Calibri" w:eastAsia="Calibri" w:hAnsi="Calibri"/>
              </w:rPr>
              <w:t xml:space="preserve">, EGP-native, NHIA-aware.</w:t>
            </w:r>
          </w:p>
          <w:p>
            <w:pPr>
              <w:spacing w:after="40" w:line="264"/>
            </w:pPr>
            <w:r>
              <w:rPr>
                <w:rFonts w:ascii="Calibri" w:cs="Calibri" w:eastAsia="Calibri" w:hAnsi="Calibri"/>
                <w:b/>
                <w:bCs/>
              </w:rPr>
              <w:t xml:space="preserve">Full compliance audit trail</w:t>
            </w:r>
            <w:r>
              <w:rPr>
                <w:rFonts w:ascii="Calibri" w:cs="Calibri" w:eastAsia="Calibri" w:hAnsi="Calibri"/>
              </w:rPr>
              <w:t xml:space="preserve"> of every decision and override.</w:t>
            </w:r>
          </w:p>
        </w:tc>
      </w:tr>
    </w:tbl>
    <w:p>
      <w:pPr>
        <w:pStyle w:val="Heading1"/>
        <w:spacing w:after="160" w:before="320"/>
      </w:pPr>
      <w:r>
        <w:rPr>
          <w:rFonts w:ascii="Calibri" w:cs="Calibri" w:eastAsia="Calibri" w:hAnsi="Calibri"/>
        </w:rPr>
        <w:t xml:space="preserve">2. The Problem: Revenue Leakage in Healthcare</w:t>
      </w:r>
    </w:p>
    <w:p>
      <w:pPr>
        <w:spacing w:after="140" w:line="276"/>
        <w:jc w:val="both"/>
      </w:pPr>
      <w:r>
        <w:rPr>
          <w:rFonts w:ascii="Calibri" w:cs="Calibri" w:eastAsia="Calibri" w:hAnsi="Calibri"/>
        </w:rPr>
        <w:t xml:space="preserve">Healthcare providers lose a significant share of earned revenue to preventable administrative failures: claims denied for missing prior authorisation, coding errors, eligibility lapses, missed timely-filing deadlines and under-documented charges. Each denial triggers costly manual rework, delays cash, and inflates Accounts Receivable (AR) days. In many facilities, 5–12% of claims are denied on first submission and a meaningful fraction are never recovered.</w:t>
      </w:r>
    </w:p>
    <w:p>
      <w:pPr>
        <w:spacing w:after="140" w:line="276"/>
        <w:jc w:val="both"/>
      </w:pPr>
      <w:r>
        <w:rPr>
          <w:rFonts w:ascii="Calibri" w:cs="Calibri" w:eastAsia="Calibri" w:hAnsi="Calibri"/>
        </w:rPr>
        <w:t xml:space="preserve">The revenue cycle is also fragmented across many disconnected steps — registration, authorisation, charge capture, coding, scrubbing, submission, adjudication, remittance, denial management and patient collections. Each hand-off is an opportunity for error and delay. Traditional RCM software automates isolated steps but rarely coordinates the whole cycle or explains its reasoning, and almost never operates safely without removing human judgement from high-stakes decisions.</w:t>
      </w:r>
    </w:p>
    <w:p>
      <w:pPr>
        <w:pStyle w:val="Heading2"/>
        <w:spacing w:after="120" w:before="240"/>
      </w:pPr>
      <w:r>
        <w:rPr>
          <w:rFonts w:ascii="Calibri" w:cs="Calibri" w:eastAsia="Calibri" w:hAnsi="Calibri"/>
        </w:rPr>
        <w:t xml:space="preserve">2.1 Why the MENA / Egyptian context is different</w:t>
      </w:r>
    </w:p>
    <w:p>
      <w:pPr>
        <w:pStyle w:val="ListParagraph"/>
        <w:numPr>
          <w:ilvl w:val="0"/>
          <w:numId w:val="2"/>
        </w:numPr>
        <w:spacing w:after="80" w:line="270"/>
      </w:pPr>
      <w:r>
        <w:rPr>
          <w:rFonts w:ascii="Calibri" w:cs="Calibri" w:eastAsia="Calibri" w:hAnsi="Calibri"/>
          <w:b/>
          <w:bCs/>
        </w:rPr>
        <w:t xml:space="preserve">Mixed payer landscape:</w:t>
      </w:r>
      <w:r>
        <w:rPr>
          <w:rFonts w:ascii="Calibri" w:cs="Calibri" w:eastAsia="Calibri" w:hAnsi="Calibri"/>
        </w:rPr>
        <w:t xml:space="preserve"> NHIA, a growing private-insurance sector, and a large self-pay population — each with different rules, thresholds and documentation requirements.</w:t>
      </w:r>
    </w:p>
    <w:p>
      <w:pPr>
        <w:pStyle w:val="ListParagraph"/>
        <w:numPr>
          <w:ilvl w:val="0"/>
          <w:numId w:val="2"/>
        </w:numPr>
        <w:spacing w:after="80" w:line="270"/>
      </w:pPr>
      <w:r>
        <w:rPr>
          <w:rFonts w:ascii="Calibri" w:cs="Calibri" w:eastAsia="Calibri" w:hAnsi="Calibri"/>
          <w:b/>
          <w:bCs/>
        </w:rPr>
        <w:t xml:space="preserve">Rapid universal-coverage rollout:</w:t>
      </w:r>
      <w:r>
        <w:rPr>
          <w:rFonts w:ascii="Calibri" w:cs="Calibri" w:eastAsia="Calibri" w:hAnsi="Calibri"/>
        </w:rPr>
        <w:t xml:space="preserve"> the expansion of national health insurance increases claim volumes and the cost of getting claims wrong.</w:t>
      </w:r>
    </w:p>
    <w:p>
      <w:pPr>
        <w:pStyle w:val="ListParagraph"/>
        <w:numPr>
          <w:ilvl w:val="0"/>
          <w:numId w:val="2"/>
        </w:numPr>
        <w:spacing w:after="80" w:line="270"/>
      </w:pPr>
      <w:r>
        <w:rPr>
          <w:rFonts w:ascii="Calibri" w:cs="Calibri" w:eastAsia="Calibri" w:hAnsi="Calibri"/>
          <w:b/>
          <w:bCs/>
        </w:rPr>
        <w:t xml:space="preserve">Bilingual operations:</w:t>
      </w:r>
      <w:r>
        <w:rPr>
          <w:rFonts w:ascii="Calibri" w:cs="Calibri" w:eastAsia="Calibri" w:hAnsi="Calibri"/>
        </w:rPr>
        <w:t xml:space="preserve"> clinical and administrative staff work across Arabic and English; software must too.</w:t>
      </w:r>
    </w:p>
    <w:p>
      <w:pPr>
        <w:pStyle w:val="ListParagraph"/>
        <w:numPr>
          <w:ilvl w:val="0"/>
          <w:numId w:val="2"/>
        </w:numPr>
        <w:spacing w:after="80" w:line="270"/>
      </w:pPr>
      <w:r>
        <w:rPr>
          <w:rFonts w:ascii="Calibri" w:cs="Calibri" w:eastAsia="Calibri" w:hAnsi="Calibri"/>
          <w:b/>
          <w:bCs/>
        </w:rPr>
        <w:t xml:space="preserve">Heterogeneous source documents:</w:t>
      </w:r>
      <w:r>
        <w:rPr>
          <w:rFonts w:ascii="Calibri" w:cs="Calibri" w:eastAsia="Calibri" w:hAnsi="Calibri"/>
        </w:rPr>
        <w:t xml:space="preserve"> claims arrive as scanned PDFs from many hospital systems with inconsistent formats.</w:t>
      </w:r>
    </w:p>
    <w:p>
      <w:pPr>
        <w:pStyle w:val="Heading1"/>
        <w:spacing w:after="160" w:before="320"/>
      </w:pPr>
      <w:r>
        <w:rPr>
          <w:rFonts w:ascii="Calibri" w:cs="Calibri" w:eastAsia="Calibri" w:hAnsi="Calibri"/>
        </w:rPr>
        <w:t xml:space="preserve">3. The Solution: An Agentic RCM Platform</w:t>
      </w:r>
    </w:p>
    <w:p>
      <w:pPr>
        <w:spacing w:after="140" w:line="276"/>
        <w:jc w:val="both"/>
      </w:pPr>
      <w:r>
        <w:rPr>
          <w:rFonts w:ascii="Calibri" w:cs="Calibri" w:eastAsia="Calibri" w:hAnsi="Calibri"/>
        </w:rPr>
        <w:t xml:space="preserve">Veebase models the revenue cycle as a coordinated team of autonomous agents, each an expert in one part of the process. A central processing engine routes every claim to the right agent for its current stage, the agent does its work and produces a structured, explainable output, and the engine recomputes the claim’s health scores and decides the next step — or pauses for a human when policy requires it.</w:t>
      </w:r>
    </w:p>
    <w:p>
      <w:pPr>
        <w:pStyle w:val="Heading2"/>
        <w:spacing w:after="120" w:before="240"/>
      </w:pPr>
      <w:r>
        <w:rPr>
          <w:rFonts w:ascii="Calibri" w:cs="Calibri" w:eastAsia="Calibri" w:hAnsi="Calibri"/>
        </w:rPr>
        <w:t xml:space="preserve">3.1 The Twelve Agents</w:t>
      </w:r>
    </w:p>
    <w:p>
      <w:pPr>
        <w:spacing w:after="140" w:line="276"/>
        <w:jc w:val="both"/>
      </w:pPr>
      <w:r>
        <w:rPr>
          <w:rFonts w:ascii="Calibri" w:cs="Calibri" w:eastAsia="Calibri" w:hAnsi="Calibri"/>
        </w:rPr>
        <w:t xml:space="preserve">The agents are organised into four categories: a nine-step linear pipeline that every claim flows through, plus three cross-cutting agents that provide oversight, knowledge and 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rPr>
          <w:tblHeader/>
        </w:trPr>
        <w:tc>
          <w:tcPr>
            <w:tcW w:type="dxa" w:w="2900"/>
            <w:tcBorders>
              <w:top w:val="single" w:color="CBD5E1" w:sz="4"/>
              <w:left w:val="single" w:color="CBD5E1" w:sz="4"/>
              <w:bottom w:val="single" w:color="CBD5E1" w:sz="4"/>
              <w:right w:val="single" w:color="CBD5E1" w:sz="4"/>
            </w:tcBorders>
            <w:shd w:fill="1D6FB8" w:val="clear"/>
            <w:tcMar>
              <w:top w:type="dxa" w:w="60"/>
              <w:left w:type="dxa" w:w="120"/>
              <w:bottom w:type="dxa" w:w="60"/>
              <w:right w:type="dxa" w:w="120"/>
            </w:tcMar>
            <w:vAlign w:val="center"/>
          </w:tcPr>
          <w:p>
            <w:pPr>
              <w:spacing w:after="0" w:line="264"/>
              <w:jc w:val="left"/>
            </w:pPr>
            <w:r>
              <w:rPr>
                <w:rFonts w:ascii="Calibri" w:cs="Calibri" w:eastAsia="Calibri" w:hAnsi="Calibri"/>
                <w:b/>
                <w:bCs/>
                <w:color w:val="FFFFFF"/>
                <w:sz w:val="19"/>
                <w:szCs w:val="19"/>
              </w:rPr>
              <w:t xml:space="preserve">Agent</w:t>
            </w:r>
          </w:p>
        </w:tc>
        <w:tc>
          <w:tcPr>
            <w:tcW w:type="dxa" w:w="1500"/>
            <w:tcBorders>
              <w:top w:val="single" w:color="CBD5E1" w:sz="4"/>
              <w:left w:val="single" w:color="CBD5E1" w:sz="4"/>
              <w:bottom w:val="single" w:color="CBD5E1" w:sz="4"/>
              <w:right w:val="single" w:color="CBD5E1" w:sz="4"/>
            </w:tcBorders>
            <w:shd w:fill="1D6FB8" w:val="clear"/>
            <w:tcMar>
              <w:top w:type="dxa" w:w="60"/>
              <w:left w:type="dxa" w:w="120"/>
              <w:bottom w:type="dxa" w:w="60"/>
              <w:right w:type="dxa" w:w="120"/>
            </w:tcMar>
            <w:vAlign w:val="center"/>
          </w:tcPr>
          <w:p>
            <w:pPr>
              <w:spacing w:after="0" w:line="264"/>
              <w:jc w:val="left"/>
            </w:pPr>
            <w:r>
              <w:rPr>
                <w:rFonts w:ascii="Calibri" w:cs="Calibri" w:eastAsia="Calibri" w:hAnsi="Calibri"/>
                <w:b/>
                <w:bCs/>
                <w:color w:val="FFFFFF"/>
                <w:sz w:val="19"/>
                <w:szCs w:val="19"/>
              </w:rPr>
              <w:t xml:space="preserve">Category</w:t>
            </w:r>
          </w:p>
        </w:tc>
        <w:tc>
          <w:tcPr>
            <w:tcW w:type="dxa" w:w="4960"/>
            <w:tcBorders>
              <w:top w:val="single" w:color="CBD5E1" w:sz="4"/>
              <w:left w:val="single" w:color="CBD5E1" w:sz="4"/>
              <w:bottom w:val="single" w:color="CBD5E1" w:sz="4"/>
              <w:right w:val="single" w:color="CBD5E1" w:sz="4"/>
            </w:tcBorders>
            <w:shd w:fill="1D6FB8" w:val="clear"/>
            <w:tcMar>
              <w:top w:type="dxa" w:w="60"/>
              <w:left w:type="dxa" w:w="120"/>
              <w:bottom w:type="dxa" w:w="60"/>
              <w:right w:type="dxa" w:w="120"/>
            </w:tcMar>
            <w:vAlign w:val="center"/>
          </w:tcPr>
          <w:p>
            <w:pPr>
              <w:spacing w:after="0" w:line="264"/>
              <w:jc w:val="left"/>
            </w:pPr>
            <w:r>
              <w:rPr>
                <w:rFonts w:ascii="Calibri" w:cs="Calibri" w:eastAsia="Calibri" w:hAnsi="Calibri"/>
                <w:b/>
                <w:bCs/>
                <w:color w:val="FFFFFF"/>
                <w:sz w:val="19"/>
                <w:szCs w:val="19"/>
              </w:rPr>
              <w:t xml:space="preserve">Responsibility</w:t>
            </w:r>
          </w:p>
        </w:tc>
      </w:tr>
      <w:tr>
        <w:tc>
          <w:tcPr>
            <w:tcW w:type="dxa" w:w="29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Eligibility &amp; Benefits</w:t>
            </w:r>
          </w:p>
        </w:tc>
        <w:tc>
          <w:tcPr>
            <w:tcW w:type="dxa" w:w="15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Linear</w:t>
            </w:r>
          </w:p>
        </w:tc>
        <w:tc>
          <w:tcPr>
            <w:tcW w:type="dxa" w:w="49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Verifies coverage, determines copay and whether prior authorisation is required.</w:t>
            </w:r>
          </w:p>
        </w:tc>
      </w:tr>
      <w:tr>
        <w:tc>
          <w:tcPr>
            <w:tcW w:type="dxa" w:w="29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Prior Authorization</w:t>
            </w:r>
          </w:p>
        </w:tc>
        <w:tc>
          <w:tcPr>
            <w:tcW w:type="dxa" w:w="15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Linear</w:t>
            </w:r>
          </w:p>
        </w:tc>
        <w:tc>
          <w:tcPr>
            <w:tcW w:type="dxa" w:w="496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Confirms or obtains authorisation; flags missing auth for human review.</w:t>
            </w:r>
          </w:p>
        </w:tc>
      </w:tr>
      <w:tr>
        <w:tc>
          <w:tcPr>
            <w:tcW w:type="dxa" w:w="29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Charge Capture &amp; Integrity</w:t>
            </w:r>
          </w:p>
        </w:tc>
        <w:tc>
          <w:tcPr>
            <w:tcW w:type="dxa" w:w="15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Linear</w:t>
            </w:r>
          </w:p>
        </w:tc>
        <w:tc>
          <w:tcPr>
            <w:tcW w:type="dxa" w:w="49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Reconciles charges against documentation; detects under-billing.</w:t>
            </w:r>
          </w:p>
        </w:tc>
      </w:tr>
      <w:tr>
        <w:tc>
          <w:tcPr>
            <w:tcW w:type="dxa" w:w="29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Medical Coding</w:t>
            </w:r>
          </w:p>
        </w:tc>
        <w:tc>
          <w:tcPr>
            <w:tcW w:type="dxa" w:w="15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Linear</w:t>
            </w:r>
          </w:p>
        </w:tc>
        <w:tc>
          <w:tcPr>
            <w:tcW w:type="dxa" w:w="496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Assigns and validates ICD-10 / CPT codes; never auto-accepts low-confidence coding.</w:t>
            </w:r>
          </w:p>
        </w:tc>
      </w:tr>
      <w:tr>
        <w:tc>
          <w:tcPr>
            <w:tcW w:type="dxa" w:w="29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Claim Scrubbing &amp; Submission</w:t>
            </w:r>
          </w:p>
        </w:tc>
        <w:tc>
          <w:tcPr>
            <w:tcW w:type="dxa" w:w="15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Linear</w:t>
            </w:r>
          </w:p>
        </w:tc>
        <w:tc>
          <w:tcPr>
            <w:tcW w:type="dxa" w:w="49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Runs payer edits; submits only clean claims; sets filing deadlines.</w:t>
            </w:r>
          </w:p>
        </w:tc>
      </w:tr>
      <w:tr>
        <w:tc>
          <w:tcPr>
            <w:tcW w:type="dxa" w:w="29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Denial Prediction</w:t>
            </w:r>
          </w:p>
        </w:tc>
        <w:tc>
          <w:tcPr>
            <w:tcW w:type="dxa" w:w="15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Linear</w:t>
            </w:r>
          </w:p>
        </w:tc>
        <w:tc>
          <w:tcPr>
            <w:tcW w:type="dxa" w:w="496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Scores denial likelihood before and during adjudication.</w:t>
            </w:r>
          </w:p>
        </w:tc>
      </w:tr>
      <w:tr>
        <w:tc>
          <w:tcPr>
            <w:tcW w:type="dxa" w:w="29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Denial Management &amp; Appeals</w:t>
            </w:r>
          </w:p>
        </w:tc>
        <w:tc>
          <w:tcPr>
            <w:tcW w:type="dxa" w:w="15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Linear</w:t>
            </w:r>
          </w:p>
        </w:tc>
        <w:tc>
          <w:tcPr>
            <w:tcW w:type="dxa" w:w="49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Builds appeal strategy or proposes write-off (with approval).</w:t>
            </w:r>
          </w:p>
        </w:tc>
      </w:tr>
      <w:tr>
        <w:tc>
          <w:tcPr>
            <w:tcW w:type="dxa" w:w="29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Payment Posting &amp; Reconciliation</w:t>
            </w:r>
          </w:p>
        </w:tc>
        <w:tc>
          <w:tcPr>
            <w:tcW w:type="dxa" w:w="15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Linear</w:t>
            </w:r>
          </w:p>
        </w:tc>
        <w:tc>
          <w:tcPr>
            <w:tcW w:type="dxa" w:w="496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Posts payments, contractual adjustments and patient responsibility.</w:t>
            </w:r>
          </w:p>
        </w:tc>
      </w:tr>
      <w:tr>
        <w:tc>
          <w:tcPr>
            <w:tcW w:type="dxa" w:w="29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Patient Billing &amp; Collections</w:t>
            </w:r>
          </w:p>
        </w:tc>
        <w:tc>
          <w:tcPr>
            <w:tcW w:type="dxa" w:w="15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Linear</w:t>
            </w:r>
          </w:p>
        </w:tc>
        <w:tc>
          <w:tcPr>
            <w:tcW w:type="dxa" w:w="49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Generates patient statements for residual balances.</w:t>
            </w:r>
          </w:p>
        </w:tc>
      </w:tr>
      <w:tr>
        <w:tc>
          <w:tcPr>
            <w:tcW w:type="dxa" w:w="29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Fraud, Waste &amp; Medical Necessity</w:t>
            </w:r>
          </w:p>
        </w:tc>
        <w:tc>
          <w:tcPr>
            <w:tcW w:type="dxa" w:w="15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Sentinel</w:t>
            </w:r>
          </w:p>
        </w:tc>
        <w:tc>
          <w:tcPr>
            <w:tcW w:type="dxa" w:w="496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Screens high-value / anomalous claims; escalates for review.</w:t>
            </w:r>
          </w:p>
        </w:tc>
      </w:tr>
      <w:tr>
        <w:tc>
          <w:tcPr>
            <w:tcW w:type="dxa" w:w="29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Payer Contract &amp; Rules</w:t>
            </w:r>
          </w:p>
        </w:tc>
        <w:tc>
          <w:tcPr>
            <w:tcW w:type="dxa" w:w="15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Knowledge</w:t>
            </w:r>
          </w:p>
        </w:tc>
        <w:tc>
          <w:tcPr>
            <w:tcW w:type="dxa" w:w="49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Supplies payer-specific rules: thresholds, filing windows, reimbursement.</w:t>
            </w:r>
          </w:p>
        </w:tc>
      </w:tr>
      <w:tr>
        <w:tc>
          <w:tcPr>
            <w:tcW w:type="dxa" w:w="29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Analytics &amp; Reporting</w:t>
            </w:r>
          </w:p>
        </w:tc>
        <w:tc>
          <w:tcPr>
            <w:tcW w:type="dxa" w:w="15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Analytics</w:t>
            </w:r>
          </w:p>
        </w:tc>
        <w:tc>
          <w:tcPr>
            <w:tcW w:type="dxa" w:w="496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Surfaces KPIs, trends and root-cause narratives.</w:t>
            </w:r>
          </w:p>
        </w:tc>
      </w:tr>
    </w:tbl>
    <w:p>
      <w:pPr>
        <w:pStyle w:val="Heading2"/>
        <w:spacing w:after="120" w:before="240"/>
      </w:pPr>
      <w:r>
        <w:rPr>
          <w:rFonts w:ascii="Calibri" w:cs="Calibri" w:eastAsia="Calibri" w:hAnsi="Calibri"/>
        </w:rPr>
        <w:t xml:space="preserve">3.2 The Claim Lifecycle</w:t>
      </w:r>
    </w:p>
    <w:p>
      <w:pPr>
        <w:spacing w:after="140" w:line="276"/>
        <w:jc w:val="both"/>
      </w:pPr>
      <w:r>
        <w:rPr>
          <w:rFonts w:ascii="Calibri" w:cs="Calibri" w:eastAsia="Calibri" w:hAnsi="Calibri"/>
        </w:rPr>
        <w:t xml:space="preserve">Every claim advances through a well-defined state machine. The engine knows the next stage for each status and the agent responsible for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4"/>
              <w:left w:val="single" w:color="0E7C7B" w:sz="24"/>
              <w:bottom w:val="single" w:color="CBD5E1" w:sz="4"/>
              <w:right w:val="single" w:color="CBD5E1" w:sz="4"/>
            </w:tcBorders>
            <w:shd w:fill="F4F8FC" w:val="clear"/>
            <w:tcMar>
              <w:top w:type="dxa" w:w="120"/>
              <w:left w:type="dxa" w:w="200"/>
              <w:bottom w:type="dxa" w:w="120"/>
              <w:right w:type="dxa" w:w="160"/>
            </w:tcMar>
          </w:tcPr>
          <w:p>
            <w:pPr>
              <w:spacing w:after="60"/>
            </w:pPr>
            <w:r>
              <w:rPr>
                <w:rFonts w:ascii="Calibri" w:cs="Calibri" w:eastAsia="Calibri" w:hAnsi="Calibri"/>
                <w:b/>
                <w:bCs/>
                <w:color w:val="0B1F3A"/>
              </w:rPr>
              <w:t xml:space="preserve">Lifecycle</w:t>
            </w:r>
          </w:p>
          <w:p>
            <w:pPr>
              <w:spacing w:after="40" w:line="264"/>
            </w:pPr>
            <w:r>
              <w:rPr>
                <w:rFonts w:ascii="Calibri" w:cs="Calibri" w:eastAsia="Calibri" w:hAnsi="Calibri"/>
              </w:rPr>
              <w:t xml:space="preserve">ELIGIBILITY → PRIOR_AUTH → CHARGE_CAPTURE → CODING → SCRUBBING → SUBMITTED → ADJUDICATION → REMITTANCE → PAID</w:t>
            </w:r>
          </w:p>
          <w:p>
            <w:pPr>
              <w:spacing w:after="40" w:line="264"/>
            </w:pPr>
            <w:r>
              <w:rPr>
                <w:rFonts w:ascii="Calibri" w:cs="Calibri" w:eastAsia="Calibri" w:hAnsi="Calibri"/>
              </w:rPr>
              <w:t xml:space="preserve">Branches: ADJUDICATION → DENIED → (appeal) → SUBMITTED, or DENIED → WRITTEN_OFF (with human approval).</w:t>
            </w:r>
          </w:p>
        </w:tc>
      </w:tr>
    </w:tbl>
    <w:p>
      <w:pPr>
        <w:spacing w:after="140" w:line="276"/>
        <w:jc w:val="both"/>
      </w:pPr>
      <w:r>
        <w:rPr>
          <w:rFonts w:ascii="Calibri" w:cs="Calibri" w:eastAsia="Calibri" w:hAnsi="Calibri"/>
        </w:rPr>
        <w:t xml:space="preserve">At each stage the engine recomputes two scores that drive prioritisation and risk management:</w:t>
      </w:r>
    </w:p>
    <w:p>
      <w:pPr>
        <w:pStyle w:val="ListParagraph"/>
        <w:numPr>
          <w:ilvl w:val="0"/>
          <w:numId w:val="2"/>
        </w:numPr>
        <w:spacing w:after="80" w:line="270"/>
      </w:pPr>
      <w:r>
        <w:rPr>
          <w:rFonts w:ascii="Calibri" w:cs="Calibri" w:eastAsia="Calibri" w:hAnsi="Calibri"/>
          <w:b/>
          <w:bCs/>
        </w:rPr>
        <w:t xml:space="preserve">Readiness Score (0–100):</w:t>
      </w:r>
      <w:r>
        <w:rPr>
          <w:rFonts w:ascii="Calibri" w:cs="Calibri" w:eastAsia="Calibri" w:hAnsi="Calibri"/>
        </w:rPr>
        <w:t xml:space="preserve"> how clean and submission-ready the claim is, factoring prior-auth status, charge integrity, coding confidence and filing-deadline pressure.</w:t>
      </w:r>
    </w:p>
    <w:p>
      <w:pPr>
        <w:pStyle w:val="ListParagraph"/>
        <w:numPr>
          <w:ilvl w:val="0"/>
          <w:numId w:val="2"/>
        </w:numPr>
        <w:spacing w:after="80" w:line="270"/>
      </w:pPr>
      <w:r>
        <w:rPr>
          <w:rFonts w:ascii="Calibri" w:cs="Calibri" w:eastAsia="Calibri" w:hAnsi="Calibri"/>
          <w:b/>
          <w:bCs/>
        </w:rPr>
        <w:t xml:space="preserve">Denial Risk Score (0–100):</w:t>
      </w:r>
      <w:r>
        <w:rPr>
          <w:rFonts w:ascii="Calibri" w:cs="Calibri" w:eastAsia="Calibri" w:hAnsi="Calibri"/>
        </w:rPr>
        <w:t xml:space="preserve"> the likelihood of denial, factoring payer baseline, missing authorisation, high value, fraud flags and coding review status.</w:t>
      </w:r>
    </w:p>
    <w:p>
      <w:pPr>
        <w:pStyle w:val="Heading2"/>
        <w:spacing w:after="120" w:before="240"/>
      </w:pPr>
      <w:r>
        <w:rPr>
          <w:rFonts w:ascii="Calibri" w:cs="Calibri" w:eastAsia="Calibri" w:hAnsi="Calibri"/>
        </w:rPr>
        <w:t xml:space="preserve">3.3 Human-in-the-Loop Governance</w:t>
      </w:r>
    </w:p>
    <w:p>
      <w:pPr>
        <w:spacing w:after="140" w:line="276"/>
        <w:jc w:val="both"/>
      </w:pPr>
      <w:r>
        <w:rPr>
          <w:rFonts w:ascii="Calibri" w:cs="Calibri" w:eastAsia="Calibri" w:hAnsi="Calibri"/>
        </w:rPr>
        <w:t xml:space="preserve">Autonomy without guardrails is unacceptable in healthcare finance. Veebase enforces a Phase-1 “assistive” governance model in which every agent decision carries one of three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BD5E1" w:sz="4"/>
              <w:left w:val="single" w:color="CBD5E1" w:sz="4"/>
              <w:bottom w:val="single" w:color="CBD5E1" w:sz="4"/>
              <w:right w:val="single" w:color="CBD5E1" w:sz="4"/>
            </w:tcBorders>
            <w:shd w:fill="1D6FB8" w:val="clear"/>
            <w:tcMar>
              <w:top w:type="dxa" w:w="60"/>
              <w:left w:type="dxa" w:w="120"/>
              <w:bottom w:type="dxa" w:w="60"/>
              <w:right w:type="dxa" w:w="120"/>
            </w:tcMar>
            <w:vAlign w:val="center"/>
          </w:tcPr>
          <w:p>
            <w:pPr>
              <w:spacing w:after="0" w:line="264"/>
              <w:jc w:val="left"/>
            </w:pPr>
            <w:r>
              <w:rPr>
                <w:rFonts w:ascii="Calibri" w:cs="Calibri" w:eastAsia="Calibri" w:hAnsi="Calibri"/>
                <w:b/>
                <w:bCs/>
                <w:color w:val="FFFFFF"/>
                <w:sz w:val="19"/>
                <w:szCs w:val="19"/>
              </w:rPr>
              <w:t xml:space="preserve">Gate</w:t>
            </w:r>
          </w:p>
        </w:tc>
        <w:tc>
          <w:tcPr>
            <w:tcW w:type="dxa" w:w="7560"/>
            <w:tcBorders>
              <w:top w:val="single" w:color="CBD5E1" w:sz="4"/>
              <w:left w:val="single" w:color="CBD5E1" w:sz="4"/>
              <w:bottom w:val="single" w:color="CBD5E1" w:sz="4"/>
              <w:right w:val="single" w:color="CBD5E1" w:sz="4"/>
            </w:tcBorders>
            <w:shd w:fill="1D6FB8" w:val="clear"/>
            <w:tcMar>
              <w:top w:type="dxa" w:w="60"/>
              <w:left w:type="dxa" w:w="120"/>
              <w:bottom w:type="dxa" w:w="60"/>
              <w:right w:type="dxa" w:w="120"/>
            </w:tcMar>
            <w:vAlign w:val="center"/>
          </w:tcPr>
          <w:p>
            <w:pPr>
              <w:spacing w:after="0" w:line="264"/>
              <w:jc w:val="left"/>
            </w:pPr>
            <w:r>
              <w:rPr>
                <w:rFonts w:ascii="Calibri" w:cs="Calibri" w:eastAsia="Calibri" w:hAnsi="Calibri"/>
                <w:b/>
                <w:bCs/>
                <w:color w:val="FFFFFF"/>
                <w:sz w:val="19"/>
                <w:szCs w:val="19"/>
              </w:rPr>
              <w:t xml:space="preserve">Meaning</w:t>
            </w:r>
          </w:p>
        </w:tc>
      </w:tr>
      <w:tr>
        <w:tc>
          <w:tcPr>
            <w:tcW w:type="dxa" w:w="18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AUTO</w:t>
            </w:r>
          </w:p>
        </w:tc>
        <w:tc>
          <w:tcPr>
            <w:tcW w:type="dxa" w:w="75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The agent may proceed automatically; low-risk, high-confidence step.</w:t>
            </w:r>
          </w:p>
        </w:tc>
      </w:tr>
      <w:tr>
        <w:tc>
          <w:tcPr>
            <w:tcW w:type="dxa" w:w="18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REVIEW</w:t>
            </w:r>
          </w:p>
        </w:tc>
        <w:tc>
          <w:tcPr>
            <w:tcW w:type="dxa" w:w="756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A human must review before the claim advances (e.g., missing prior auth, low-confidence coding).</w:t>
            </w:r>
          </w:p>
        </w:tc>
      </w:tr>
      <w:tr>
        <w:tc>
          <w:tcPr>
            <w:tcW w:type="dxa" w:w="18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APPROVE</w:t>
            </w:r>
          </w:p>
        </w:tc>
        <w:tc>
          <w:tcPr>
            <w:tcW w:type="dxa" w:w="75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A human must explicitly approve a high-stakes action (e.g., high-value submission, write-off).</w:t>
            </w:r>
          </w:p>
        </w:tc>
      </w:tr>
    </w:tbl>
    <w:p>
      <w:pPr>
        <w:spacing w:after="40"/>
      </w:pPr>
      <w:r>
        <w:rPr>
          <w:rFonts w:ascii="Calibri" w:cs="Calibri" w:eastAsia="Calibri" w:hAnsi="Calibri"/>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4"/>
              <w:left w:val="single" w:color="C0392B" w:sz="24"/>
              <w:bottom w:val="single" w:color="CBD5E1" w:sz="4"/>
              <w:right w:val="single" w:color="CBD5E1" w:sz="4"/>
            </w:tcBorders>
            <w:shd w:fill="FDECEC" w:val="clear"/>
            <w:tcMar>
              <w:top w:type="dxa" w:w="120"/>
              <w:left w:type="dxa" w:w="200"/>
              <w:bottom w:type="dxa" w:w="120"/>
              <w:right w:type="dxa" w:w="160"/>
            </w:tcMar>
          </w:tcPr>
          <w:p>
            <w:pPr>
              <w:spacing w:after="60"/>
            </w:pPr>
            <w:r>
              <w:rPr>
                <w:rFonts w:ascii="Calibri" w:cs="Calibri" w:eastAsia="Calibri" w:hAnsi="Calibri"/>
                <w:b/>
                <w:bCs/>
                <w:color w:val="0B1F3A"/>
              </w:rPr>
              <w:t xml:space="preserve">Prohibited actions — never automated</w:t>
            </w:r>
          </w:p>
          <w:p>
            <w:pPr>
              <w:spacing w:after="40" w:line="264"/>
            </w:pPr>
            <w:r>
              <w:rPr>
                <w:rFonts w:ascii="Calibri" w:cs="Calibri" w:eastAsia="Calibri" w:hAnsi="Calibri"/>
              </w:rPr>
              <w:t xml:space="preserve">No auto-acceptance of low-confidence medical coding.</w:t>
            </w:r>
          </w:p>
          <w:p>
            <w:pPr>
              <w:spacing w:after="40" w:line="264"/>
            </w:pPr>
            <w:r>
              <w:rPr>
                <w:rFonts w:ascii="Calibri" w:cs="Calibri" w:eastAsia="Calibri" w:hAnsi="Calibri"/>
              </w:rPr>
              <w:t xml:space="preserve">No automatic write-off of recoverable claims.</w:t>
            </w:r>
          </w:p>
          <w:p>
            <w:pPr>
              <w:spacing w:after="40" w:line="264"/>
            </w:pPr>
            <w:r>
              <w:rPr>
                <w:rFonts w:ascii="Calibri" w:cs="Calibri" w:eastAsia="Calibri" w:hAnsi="Calibri"/>
              </w:rPr>
              <w:t xml:space="preserve">No submission of claims that fail scrubber edits ("dirty" claims are held).</w:t>
            </w:r>
          </w:p>
          <w:p>
            <w:pPr>
              <w:spacing w:after="40" w:line="264"/>
            </w:pPr>
            <w:r>
              <w:rPr>
                <w:rFonts w:ascii="Calibri" w:cs="Calibri" w:eastAsia="Calibri" w:hAnsi="Calibri"/>
              </w:rPr>
              <w:t xml:space="preserve">High-value and anomalous claims are always routed to the Fraud/Waste sentinel for review.</w:t>
            </w:r>
          </w:p>
        </w:tc>
      </w:tr>
    </w:tbl>
    <w:p>
      <w:pPr>
        <w:spacing w:after="140" w:line="276"/>
        <w:jc w:val="both"/>
      </w:pPr>
      <w:r>
        <w:rPr>
          <w:rFonts w:ascii="Calibri" w:cs="Calibri" w:eastAsia="Calibri" w:hAnsi="Calibri"/>
        </w:rPr>
        <w:t xml:space="preserve">When a claim is auto-processed, the engine advances it stage by stage but stops at the first gate that requires a human — so the platform accelerates the routine 80% while preserving human judgement for the consequential 20%.</w:t>
      </w:r>
    </w:p>
    <w:p>
      <w:r>
        <w:br w:type="page"/>
      </w:r>
    </w:p>
    <w:p>
      <w:pPr>
        <w:pStyle w:val="Heading1"/>
        <w:spacing w:after="160" w:before="320"/>
      </w:pPr>
      <w:r>
        <w:rPr>
          <w:rFonts w:ascii="Calibri" w:cs="Calibri" w:eastAsia="Calibri" w:hAnsi="Calibri"/>
        </w:rPr>
        <w:t xml:space="preserve">4. Architecture</w:t>
      </w:r>
    </w:p>
    <w:p>
      <w:pPr>
        <w:spacing w:after="140" w:line="276"/>
        <w:jc w:val="both"/>
      </w:pPr>
      <w:r>
        <w:rPr>
          <w:rFonts w:ascii="Calibri" w:cs="Calibri" w:eastAsia="Calibri" w:hAnsi="Calibri"/>
        </w:rPr>
        <w:t xml:space="preserve">Veebase is a modern, single-deployable web application with a clean separation between presentation, API, business logic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rPr>
          <w:tblHeader/>
        </w:trPr>
        <w:tc>
          <w:tcPr>
            <w:tcW w:type="dxa" w:w="1700"/>
            <w:tcBorders>
              <w:top w:val="single" w:color="CBD5E1" w:sz="4"/>
              <w:left w:val="single" w:color="CBD5E1" w:sz="4"/>
              <w:bottom w:val="single" w:color="CBD5E1" w:sz="4"/>
              <w:right w:val="single" w:color="CBD5E1" w:sz="4"/>
            </w:tcBorders>
            <w:shd w:fill="1D6FB8" w:val="clear"/>
            <w:tcMar>
              <w:top w:type="dxa" w:w="60"/>
              <w:left w:type="dxa" w:w="120"/>
              <w:bottom w:type="dxa" w:w="60"/>
              <w:right w:type="dxa" w:w="120"/>
            </w:tcMar>
            <w:vAlign w:val="center"/>
          </w:tcPr>
          <w:p>
            <w:pPr>
              <w:spacing w:after="0" w:line="264"/>
              <w:jc w:val="left"/>
            </w:pPr>
            <w:r>
              <w:rPr>
                <w:rFonts w:ascii="Calibri" w:cs="Calibri" w:eastAsia="Calibri" w:hAnsi="Calibri"/>
                <w:b/>
                <w:bCs/>
                <w:color w:val="FFFFFF"/>
                <w:sz w:val="19"/>
                <w:szCs w:val="19"/>
              </w:rPr>
              <w:t xml:space="preserve">Layer</w:t>
            </w:r>
          </w:p>
        </w:tc>
        <w:tc>
          <w:tcPr>
            <w:tcW w:type="dxa" w:w="3600"/>
            <w:tcBorders>
              <w:top w:val="single" w:color="CBD5E1" w:sz="4"/>
              <w:left w:val="single" w:color="CBD5E1" w:sz="4"/>
              <w:bottom w:val="single" w:color="CBD5E1" w:sz="4"/>
              <w:right w:val="single" w:color="CBD5E1" w:sz="4"/>
            </w:tcBorders>
            <w:shd w:fill="1D6FB8" w:val="clear"/>
            <w:tcMar>
              <w:top w:type="dxa" w:w="60"/>
              <w:left w:type="dxa" w:w="120"/>
              <w:bottom w:type="dxa" w:w="60"/>
              <w:right w:type="dxa" w:w="120"/>
            </w:tcMar>
            <w:vAlign w:val="center"/>
          </w:tcPr>
          <w:p>
            <w:pPr>
              <w:spacing w:after="0" w:line="264"/>
              <w:jc w:val="left"/>
            </w:pPr>
            <w:r>
              <w:rPr>
                <w:rFonts w:ascii="Calibri" w:cs="Calibri" w:eastAsia="Calibri" w:hAnsi="Calibri"/>
                <w:b/>
                <w:bCs/>
                <w:color w:val="FFFFFF"/>
                <w:sz w:val="19"/>
                <w:szCs w:val="19"/>
              </w:rPr>
              <w:t xml:space="preserve">Technology</w:t>
            </w:r>
          </w:p>
        </w:tc>
        <w:tc>
          <w:tcPr>
            <w:tcW w:type="dxa" w:w="4060"/>
            <w:tcBorders>
              <w:top w:val="single" w:color="CBD5E1" w:sz="4"/>
              <w:left w:val="single" w:color="CBD5E1" w:sz="4"/>
              <w:bottom w:val="single" w:color="CBD5E1" w:sz="4"/>
              <w:right w:val="single" w:color="CBD5E1" w:sz="4"/>
            </w:tcBorders>
            <w:shd w:fill="1D6FB8" w:val="clear"/>
            <w:tcMar>
              <w:top w:type="dxa" w:w="60"/>
              <w:left w:type="dxa" w:w="120"/>
              <w:bottom w:type="dxa" w:w="60"/>
              <w:right w:type="dxa" w:w="120"/>
            </w:tcMar>
            <w:vAlign w:val="center"/>
          </w:tcPr>
          <w:p>
            <w:pPr>
              <w:spacing w:after="0" w:line="264"/>
              <w:jc w:val="left"/>
            </w:pPr>
            <w:r>
              <w:rPr>
                <w:rFonts w:ascii="Calibri" w:cs="Calibri" w:eastAsia="Calibri" w:hAnsi="Calibri"/>
                <w:b/>
                <w:bCs/>
                <w:color w:val="FFFFFF"/>
                <w:sz w:val="19"/>
                <w:szCs w:val="19"/>
              </w:rPr>
              <w:t xml:space="preserve">Role</w:t>
            </w:r>
          </w:p>
        </w:tc>
      </w:tr>
      <w:tr>
        <w:tc>
          <w:tcPr>
            <w:tcW w:type="dxa" w:w="17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Presentation</w:t>
            </w:r>
          </w:p>
        </w:tc>
        <w:tc>
          <w:tcPr>
            <w:tcW w:type="dxa" w:w="36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Next.js 16 (App Router), React 19, Tailwind v4, shadcn/ui</w:t>
            </w:r>
          </w:p>
        </w:tc>
        <w:tc>
          <w:tcPr>
            <w:tcW w:type="dxa" w:w="40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Bilingual dashboard, claims, analytics, audit and chat views.</w:t>
            </w:r>
          </w:p>
        </w:tc>
      </w:tr>
      <w:tr>
        <w:tc>
          <w:tcPr>
            <w:tcW w:type="dxa" w:w="17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API Gateway</w:t>
            </w:r>
          </w:p>
        </w:tc>
        <w:tc>
          <w:tcPr>
            <w:tcW w:type="dxa" w:w="36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Next.js Route Handlers</w:t>
            </w:r>
          </w:p>
        </w:tc>
        <w:tc>
          <w:tcPr>
            <w:tcW w:type="dxa" w:w="406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Internal UI endpoints and the authenticated /api/v1 integration surface.</w:t>
            </w:r>
          </w:p>
        </w:tc>
      </w:tr>
      <w:tr>
        <w:tc>
          <w:tcPr>
            <w:tcW w:type="dxa" w:w="17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Service Layer</w:t>
            </w:r>
          </w:p>
        </w:tc>
        <w:tc>
          <w:tcPr>
            <w:tcW w:type="dxa" w:w="36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TypeScript services</w:t>
            </w:r>
          </w:p>
        </w:tc>
        <w:tc>
          <w:tcPr>
            <w:tcW w:type="dxa" w:w="40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Orchestrates engine runs, persistence, audit logging and event dispatch.</w:t>
            </w:r>
          </w:p>
        </w:tc>
      </w:tr>
      <w:tr>
        <w:tc>
          <w:tcPr>
            <w:tcW w:type="dxa" w:w="17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RCM Engine</w:t>
            </w:r>
          </w:p>
        </w:tc>
        <w:tc>
          <w:tcPr>
            <w:tcW w:type="dxa" w:w="36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Deterministic rules engine</w:t>
            </w:r>
          </w:p>
        </w:tc>
        <w:tc>
          <w:tcPr>
            <w:tcW w:type="dxa" w:w="406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Pure, explainable claim processing, scoring and payer rules.</w:t>
            </w:r>
          </w:p>
        </w:tc>
      </w:tr>
      <w:tr>
        <w:tc>
          <w:tcPr>
            <w:tcW w:type="dxa" w:w="17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Persistence</w:t>
            </w:r>
          </w:p>
        </w:tc>
        <w:tc>
          <w:tcPr>
            <w:tcW w:type="dxa" w:w="36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Prisma ORM + SQLite (Postgres-ready)</w:t>
            </w:r>
          </w:p>
        </w:tc>
        <w:tc>
          <w:tcPr>
            <w:tcW w:type="dxa" w:w="40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Claims, agents, escalations, KPIs, audit log, events, keys, webhooks.</w:t>
            </w:r>
          </w:p>
        </w:tc>
      </w:tr>
    </w:tbl>
    <w:p>
      <w:pPr>
        <w:spacing w:after="140" w:line="276"/>
        <w:jc w:val="both"/>
      </w:pPr>
      <w:r>
        <w:rPr>
          <w:rFonts w:ascii="Calibri" w:cs="Calibri" w:eastAsia="Calibri" w:hAnsi="Calibri"/>
        </w:rPr>
        <w:t xml:space="preserve">The engine is a pure function library: given a claim, it returns the proposed changes without side effects. This makes its behaviour deterministic, testable and fully auditable — an essential property for a compliance-sensitive domain. The service layer applies those changes, writes an immutable audit entry, records the per-agent processing event, raises escalations and emits webhook events.</w:t>
      </w:r>
    </w:p>
    <w:p>
      <w:pPr>
        <w:pStyle w:val="Heading1"/>
        <w:spacing w:after="160" w:before="320"/>
      </w:pPr>
      <w:r>
        <w:rPr>
          <w:rFonts w:ascii="Calibri" w:cs="Calibri" w:eastAsia="Calibri" w:hAnsi="Calibri"/>
        </w:rPr>
        <w:t xml:space="preserve">5. Integration: In and Out of Any System</w:t>
      </w:r>
    </w:p>
    <w:p>
      <w:pPr>
        <w:spacing w:after="140" w:line="276"/>
        <w:jc w:val="both"/>
      </w:pPr>
      <w:r>
        <w:rPr>
          <w:rFonts w:ascii="Calibri" w:cs="Calibri" w:eastAsia="Calibri" w:hAnsi="Calibri"/>
        </w:rPr>
        <w:t xml:space="preserve">Veebase is designed to sit at the centre of a provider’s IT estate and exchange data with everything around it.</w:t>
      </w:r>
    </w:p>
    <w:p>
      <w:pPr>
        <w:pStyle w:val="Heading2"/>
        <w:spacing w:after="120" w:before="240"/>
      </w:pPr>
      <w:r>
        <w:rPr>
          <w:rFonts w:ascii="Calibri" w:cs="Calibri" w:eastAsia="Calibri" w:hAnsi="Calibri"/>
        </w:rPr>
        <w:t xml:space="preserve">5.1 Inbound</w:t>
      </w:r>
    </w:p>
    <w:p>
      <w:pPr>
        <w:pStyle w:val="ListParagraph"/>
        <w:numPr>
          <w:ilvl w:val="0"/>
          <w:numId w:val="2"/>
        </w:numPr>
        <w:spacing w:after="80" w:line="270"/>
      </w:pPr>
      <w:r>
        <w:rPr>
          <w:rFonts w:ascii="Calibri" w:cs="Calibri" w:eastAsia="Calibri" w:hAnsi="Calibri"/>
          <w:b/>
          <w:bCs/>
        </w:rPr>
        <w:t xml:space="preserve">Native REST:</w:t>
      </w:r>
      <w:r>
        <w:rPr>
          <w:rFonts w:ascii="Calibri" w:cs="Calibri" w:eastAsia="Calibri" w:hAnsi="Calibri"/>
        </w:rPr>
        <w:t xml:space="preserve"> create single claims or batches via `POST /api/v1/claims`.</w:t>
      </w:r>
    </w:p>
    <w:p>
      <w:pPr>
        <w:pStyle w:val="ListParagraph"/>
        <w:numPr>
          <w:ilvl w:val="0"/>
          <w:numId w:val="2"/>
        </w:numPr>
        <w:spacing w:after="80" w:line="270"/>
      </w:pPr>
      <w:r>
        <w:rPr>
          <w:rFonts w:ascii="Calibri" w:cs="Calibri" w:eastAsia="Calibri" w:hAnsi="Calibri"/>
          <w:b/>
          <w:bCs/>
        </w:rPr>
        <w:t xml:space="preserve">HL7 FHIR R4:</w:t>
      </w:r>
      <w:r>
        <w:rPr>
          <w:rFonts w:ascii="Calibri" w:cs="Calibri" w:eastAsia="Calibri" w:hAnsi="Calibri"/>
        </w:rPr>
        <w:t xml:space="preserve"> submit a standards-compliant `Claim` resource to `POST /api/v1/fhir/Claim`; read any claim back as FHIR.</w:t>
      </w:r>
    </w:p>
    <w:p>
      <w:pPr>
        <w:pStyle w:val="ListParagraph"/>
        <w:numPr>
          <w:ilvl w:val="0"/>
          <w:numId w:val="2"/>
        </w:numPr>
        <w:spacing w:after="80" w:line="270"/>
      </w:pPr>
      <w:r>
        <w:rPr>
          <w:rFonts w:ascii="Calibri" w:cs="Calibri" w:eastAsia="Calibri" w:hAnsi="Calibri"/>
          <w:b/>
          <w:bCs/>
        </w:rPr>
        <w:t xml:space="preserve">Eligibility pre-check:</w:t>
      </w:r>
      <w:r>
        <w:rPr>
          <w:rFonts w:ascii="Calibri" w:cs="Calibri" w:eastAsia="Calibri" w:hAnsi="Calibri"/>
        </w:rPr>
        <w:t xml:space="preserve"> call `POST /api/v1/eligibility` at registration to get coverage, prior-auth requirements and a denial-risk estimate before service.</w:t>
      </w:r>
    </w:p>
    <w:p>
      <w:pPr>
        <w:pStyle w:val="ListParagraph"/>
        <w:numPr>
          <w:ilvl w:val="0"/>
          <w:numId w:val="2"/>
        </w:numPr>
        <w:spacing w:after="80" w:line="270"/>
      </w:pPr>
      <w:r>
        <w:rPr>
          <w:rFonts w:ascii="Calibri" w:cs="Calibri" w:eastAsia="Calibri" w:hAnsi="Calibri"/>
          <w:b/>
          <w:bCs/>
        </w:rPr>
        <w:t xml:space="preserve">Document ingestion:</w:t>
      </w:r>
      <w:r>
        <w:rPr>
          <w:rFonts w:ascii="Calibri" w:cs="Calibri" w:eastAsia="Calibri" w:hAnsi="Calibri"/>
        </w:rPr>
        <w:t xml:space="preserve"> the Ingestion Hub turns scanned PDF claims from multiple hospital templates into structured claims.</w:t>
      </w:r>
    </w:p>
    <w:p>
      <w:pPr>
        <w:pStyle w:val="Heading2"/>
        <w:spacing w:after="120" w:before="240"/>
      </w:pPr>
      <w:r>
        <w:rPr>
          <w:rFonts w:ascii="Calibri" w:cs="Calibri" w:eastAsia="Calibri" w:hAnsi="Calibri"/>
        </w:rPr>
        <w:t xml:space="preserve">5.2 Processing &amp; control</w:t>
      </w:r>
    </w:p>
    <w:p>
      <w:pPr>
        <w:pStyle w:val="ListParagraph"/>
        <w:numPr>
          <w:ilvl w:val="0"/>
          <w:numId w:val="2"/>
        </w:numPr>
        <w:spacing w:after="80" w:line="270"/>
      </w:pPr>
      <w:r>
        <w:rPr>
          <w:rFonts w:ascii="Calibri" w:cs="Calibri" w:eastAsia="Calibri" w:hAnsi="Calibri"/>
          <w:b/>
          <w:bCs/>
        </w:rPr>
        <w:t xml:space="preserve">Run the agents on demand:</w:t>
      </w:r>
      <w:r>
        <w:rPr>
          <w:rFonts w:ascii="Calibri" w:cs="Calibri" w:eastAsia="Calibri" w:hAnsi="Calibri"/>
        </w:rPr>
        <w:t xml:space="preserve"> `POST /api/v1/claims/{id}/process` advances a claim one stage (`step`) or autonomously up to the next human gate (`auto`).</w:t>
      </w:r>
    </w:p>
    <w:p>
      <w:pPr>
        <w:pStyle w:val="ListParagraph"/>
        <w:numPr>
          <w:ilvl w:val="0"/>
          <w:numId w:val="2"/>
        </w:numPr>
        <w:spacing w:after="80" w:line="270"/>
      </w:pPr>
      <w:r>
        <w:rPr>
          <w:rFonts w:ascii="Calibri" w:cs="Calibri" w:eastAsia="Calibri" w:hAnsi="Calibri"/>
          <w:b/>
          <w:bCs/>
        </w:rPr>
        <w:t xml:space="preserve">Update and query:</w:t>
      </w:r>
      <w:r>
        <w:rPr>
          <w:rFonts w:ascii="Calibri" w:cs="Calibri" w:eastAsia="Calibri" w:hAnsi="Calibri"/>
        </w:rPr>
        <w:t xml:space="preserve"> full read/update access to claims and their processing history.</w:t>
      </w:r>
    </w:p>
    <w:p>
      <w:pPr>
        <w:pStyle w:val="Heading2"/>
        <w:spacing w:after="120" w:before="240"/>
      </w:pPr>
      <w:r>
        <w:rPr>
          <w:rFonts w:ascii="Calibri" w:cs="Calibri" w:eastAsia="Calibri" w:hAnsi="Calibri"/>
        </w:rPr>
        <w:t xml:space="preserve">5.3 Outbound</w:t>
      </w:r>
    </w:p>
    <w:p>
      <w:pPr>
        <w:pStyle w:val="ListParagraph"/>
        <w:numPr>
          <w:ilvl w:val="0"/>
          <w:numId w:val="2"/>
        </w:numPr>
        <w:spacing w:after="80" w:line="270"/>
      </w:pPr>
      <w:r>
        <w:rPr>
          <w:rFonts w:ascii="Calibri" w:cs="Calibri" w:eastAsia="Calibri" w:hAnsi="Calibri"/>
          <w:b/>
          <w:bCs/>
        </w:rPr>
        <w:t xml:space="preserve">Signed webhooks:</w:t>
      </w:r>
      <w:r>
        <w:rPr>
          <w:rFonts w:ascii="Calibri" w:cs="Calibri" w:eastAsia="Calibri" w:hAnsi="Calibri"/>
        </w:rPr>
        <w:t xml:space="preserve"> register a URL to receive real-time events — `claim.created`, `claim.status_changed`, `claim.submitted`, `claim.denied`, `claim.paid`, `escalation.created` and more. Every payload is signed with `HMAC-SHA256` so receivers can verify authenticity.</w:t>
      </w:r>
    </w:p>
    <w:p>
      <w:pPr>
        <w:pStyle w:val="ListParagraph"/>
        <w:numPr>
          <w:ilvl w:val="0"/>
          <w:numId w:val="2"/>
        </w:numPr>
        <w:spacing w:after="80" w:line="270"/>
      </w:pPr>
      <w:r>
        <w:rPr>
          <w:rFonts w:ascii="Calibri" w:cs="Calibri" w:eastAsia="Calibri" w:hAnsi="Calibri"/>
          <w:b/>
          <w:bCs/>
        </w:rPr>
        <w:t xml:space="preserve">Audit &amp; analytics export:</w:t>
      </w:r>
      <w:r>
        <w:rPr>
          <w:rFonts w:ascii="Calibri" w:cs="Calibri" w:eastAsia="Calibri" w:hAnsi="Calibri"/>
        </w:rPr>
        <w:t xml:space="preserve"> the compliance audit trail and KPIs are available via API and as CSV exports from the UI.</w:t>
      </w:r>
    </w:p>
    <w:p>
      <w:pPr>
        <w:pStyle w:val="Heading2"/>
        <w:spacing w:after="120" w:before="240"/>
      </w:pPr>
      <w:r>
        <w:rPr>
          <w:rFonts w:ascii="Calibri" w:cs="Calibri" w:eastAsia="Calibri" w:hAnsi="Calibri"/>
        </w:rPr>
        <w:t xml:space="preserve">5.4 Security model</w:t>
      </w:r>
    </w:p>
    <w:p>
      <w:pPr>
        <w:spacing w:after="140" w:line="276"/>
        <w:jc w:val="both"/>
      </w:pPr>
      <w:r>
        <w:rPr>
          <w:rFonts w:ascii="Calibri" w:cs="Calibri" w:eastAsia="Calibri" w:hAnsi="Calibri"/>
        </w:rPr>
        <w:t xml:space="preserve">The /api/v1 surface is protected by API keys passed in the `X-API-Key` header. For convenience the gateway starts in an open “bootstrap” mode until the first key is provisioned, after which authentication is enforced on all integration endpoints. Scopes (read / write / admin) constrain what each key can do, and a trusted server-to-server master key can be configured via environment variable. The complete API is published as an OpenAPI 3 document and explorable through a built-in Swagger UI at `/docs`.</w:t>
      </w:r>
    </w:p>
    <w:p>
      <w:r>
        <w:br w:type="page"/>
      </w:r>
    </w:p>
    <w:p>
      <w:pPr>
        <w:pStyle w:val="Heading1"/>
        <w:spacing w:after="160" w:before="320"/>
      </w:pPr>
      <w:r>
        <w:rPr>
          <w:rFonts w:ascii="Calibri" w:cs="Calibri" w:eastAsia="Calibri" w:hAnsi="Calibri"/>
        </w:rPr>
        <w:t xml:space="preserve">6. Use Cases</w:t>
      </w:r>
    </w:p>
    <w:p>
      <w:pPr>
        <w:pStyle w:val="Heading3"/>
        <w:spacing w:after="100" w:before="180"/>
      </w:pPr>
      <w:r>
        <w:rPr>
          <w:rFonts w:ascii="Calibri" w:cs="Calibri" w:eastAsia="Calibri" w:hAnsi="Calibri"/>
        </w:rPr>
        <w:t xml:space="preserve">6.1 Hospital billing department — autonomous first-pass processing</w:t>
      </w:r>
    </w:p>
    <w:p>
      <w:pPr>
        <w:spacing w:after="140" w:line="276"/>
        <w:jc w:val="both"/>
      </w:pPr>
      <w:r>
        <w:rPr>
          <w:rFonts w:ascii="Calibri" w:cs="Calibri" w:eastAsia="Calibri" w:hAnsi="Calibri"/>
        </w:rPr>
        <w:t xml:space="preserve">A tertiary hospital routes all encounters into Veebase. The engine verifies eligibility, checks prior-authorisation thresholds per payer, captures charges, validates coding and scrubs each claim. Clean, low-risk claims are submitted automatically; claims missing authorisation or with low-confidence coding pause at a review gate on the billing team’s worklist. Result: staff focus only on exceptions, first-pass clean-claim rates rise, and AR days fall.</w:t>
      </w:r>
    </w:p>
    <w:p>
      <w:pPr>
        <w:pStyle w:val="Heading3"/>
        <w:spacing w:after="100" w:before="180"/>
      </w:pPr>
      <w:r>
        <w:rPr>
          <w:rFonts w:ascii="Calibri" w:cs="Calibri" w:eastAsia="Calibri" w:hAnsi="Calibri"/>
        </w:rPr>
        <w:t xml:space="preserve">6.2 Insurer / TPA integration via FHIR</w:t>
      </w:r>
    </w:p>
    <w:p>
      <w:pPr>
        <w:spacing w:after="140" w:line="276"/>
        <w:jc w:val="both"/>
      </w:pPr>
      <w:r>
        <w:rPr>
          <w:rFonts w:ascii="Calibri" w:cs="Calibri" w:eastAsia="Calibri" w:hAnsi="Calibri"/>
        </w:rPr>
        <w:t xml:space="preserve">A hospital information system already speaks FHIR. It submits `Claim` resources directly to Veebase, which maps them to its internal model, scores them, and pushes status updates back to the HIS via signed webhooks — no custom file formats, no nightly batch reconciliation.</w:t>
      </w:r>
    </w:p>
    <w:p>
      <w:pPr>
        <w:pStyle w:val="Heading3"/>
        <w:spacing w:after="100" w:before="180"/>
      </w:pPr>
      <w:r>
        <w:rPr>
          <w:rFonts w:ascii="Calibri" w:cs="Calibri" w:eastAsia="Calibri" w:hAnsi="Calibri"/>
        </w:rPr>
        <w:t xml:space="preserve">6.3 Denial management &amp; appeals</w:t>
      </w:r>
    </w:p>
    <w:p>
      <w:pPr>
        <w:spacing w:after="140" w:line="276"/>
        <w:jc w:val="both"/>
      </w:pPr>
      <w:r>
        <w:rPr>
          <w:rFonts w:ascii="Calibri" w:cs="Calibri" w:eastAsia="Calibri" w:hAnsi="Calibri"/>
        </w:rPr>
        <w:t xml:space="preserve">When a claim is denied, the Denial Management agent evaluates the appeal window and recoverable value, recommends one of several appeal strategies with an estimated overturn probability, and drafts the appeal. Low-value or out-of-window claims are proposed for write-off — but only a human can approve the write-off, preserving revenue integrity.</w:t>
      </w:r>
    </w:p>
    <w:p>
      <w:pPr>
        <w:pStyle w:val="Heading3"/>
        <w:spacing w:after="100" w:before="180"/>
      </w:pPr>
      <w:r>
        <w:rPr>
          <w:rFonts w:ascii="Calibri" w:cs="Calibri" w:eastAsia="Calibri" w:hAnsi="Calibri"/>
        </w:rPr>
        <w:t xml:space="preserve">6.4 Point-of-registration eligibility</w:t>
      </w:r>
    </w:p>
    <w:p>
      <w:pPr>
        <w:spacing w:after="140" w:line="276"/>
        <w:jc w:val="both"/>
      </w:pPr>
      <w:r>
        <w:rPr>
          <w:rFonts w:ascii="Calibri" w:cs="Calibri" w:eastAsia="Calibri" w:hAnsi="Calibri"/>
        </w:rPr>
        <w:t xml:space="preserve">Front-desk staff (or the scheduling system) call the eligibility endpoint before a patient is seen. Veebase returns whether coverage is active, whether prior authorisation will be required for the expected amount, the estimated reimbursement and patient responsibility, and a denial-risk score — preventing denials before they happen.</w:t>
      </w:r>
    </w:p>
    <w:p>
      <w:pPr>
        <w:pStyle w:val="Heading3"/>
        <w:spacing w:after="100" w:before="180"/>
      </w:pPr>
      <w:r>
        <w:rPr>
          <w:rFonts w:ascii="Calibri" w:cs="Calibri" w:eastAsia="Calibri" w:hAnsi="Calibri"/>
        </w:rPr>
        <w:t xml:space="preserve">6.5 PDF claim ingestion from mixed sources</w:t>
      </w:r>
    </w:p>
    <w:p>
      <w:pPr>
        <w:spacing w:after="140" w:line="276"/>
        <w:jc w:val="both"/>
      </w:pPr>
      <w:r>
        <w:rPr>
          <w:rFonts w:ascii="Calibri" w:cs="Calibri" w:eastAsia="Calibri" w:hAnsi="Calibri"/>
        </w:rPr>
        <w:t xml:space="preserve">Claims arrive as scanned PDFs from several hospital systems. The Ingestion Hub recognises hospital templates, extracts the structured fields with confidence indicators, lets a reviewer correct low-confidence fields, and submits the result as a claim — bridging paper-era workflows into the automated pipeline.</w:t>
      </w:r>
    </w:p>
    <w:p>
      <w:pPr>
        <w:pStyle w:val="Heading3"/>
        <w:spacing w:after="100" w:before="180"/>
      </w:pPr>
      <w:r>
        <w:rPr>
          <w:rFonts w:ascii="Calibri" w:cs="Calibri" w:eastAsia="Calibri" w:hAnsi="Calibri"/>
        </w:rPr>
        <w:t xml:space="preserve">6.6 Compliance &amp; fraud oversight</w:t>
      </w:r>
    </w:p>
    <w:p>
      <w:pPr>
        <w:spacing w:after="140" w:line="276"/>
        <w:jc w:val="both"/>
      </w:pPr>
      <w:r>
        <w:rPr>
          <w:rFonts w:ascii="Calibri" w:cs="Calibri" w:eastAsia="Calibri" w:hAnsi="Calibri"/>
        </w:rPr>
        <w:t xml:space="preserve">The Fraud, Waste &amp; Medical-Necessity sentinel screens high-value and anomalous claims and raises escalations on a five-level ladder (front desk → billing → RCM manager → compliance officer → medical director). Every action — agent run, override, approval, escalation — is written to an immutable audit trail that can be exported for regulators or internal audit.</w:t>
      </w:r>
    </w:p>
    <w:p>
      <w:pPr>
        <w:pStyle w:val="Heading1"/>
        <w:spacing w:after="160" w:before="320"/>
      </w:pPr>
      <w:r>
        <w:rPr>
          <w:rFonts w:ascii="Calibri" w:cs="Calibri" w:eastAsia="Calibri" w:hAnsi="Calibri"/>
        </w:rPr>
        <w:t xml:space="preserve">7. How to Use the Platform</w:t>
      </w:r>
    </w:p>
    <w:p>
      <w:pPr>
        <w:pStyle w:val="Heading2"/>
        <w:spacing w:after="120" w:before="240"/>
      </w:pPr>
      <w:r>
        <w:rPr>
          <w:rFonts w:ascii="Calibri" w:cs="Calibri" w:eastAsia="Calibri" w:hAnsi="Calibri"/>
        </w:rPr>
        <w:t xml:space="preserve">7.1 Roles and daily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BD5E1" w:sz="4"/>
              <w:left w:val="single" w:color="CBD5E1" w:sz="4"/>
              <w:bottom w:val="single" w:color="CBD5E1" w:sz="4"/>
              <w:right w:val="single" w:color="CBD5E1" w:sz="4"/>
            </w:tcBorders>
            <w:shd w:fill="1D6FB8" w:val="clear"/>
            <w:tcMar>
              <w:top w:type="dxa" w:w="60"/>
              <w:left w:type="dxa" w:w="120"/>
              <w:bottom w:type="dxa" w:w="60"/>
              <w:right w:type="dxa" w:w="120"/>
            </w:tcMar>
            <w:vAlign w:val="center"/>
          </w:tcPr>
          <w:p>
            <w:pPr>
              <w:spacing w:after="0" w:line="264"/>
              <w:jc w:val="left"/>
            </w:pPr>
            <w:r>
              <w:rPr>
                <w:rFonts w:ascii="Calibri" w:cs="Calibri" w:eastAsia="Calibri" w:hAnsi="Calibri"/>
                <w:b/>
                <w:bCs/>
                <w:color w:val="FFFFFF"/>
                <w:sz w:val="19"/>
                <w:szCs w:val="19"/>
              </w:rPr>
              <w:t xml:space="preserve">Role</w:t>
            </w:r>
          </w:p>
        </w:tc>
        <w:tc>
          <w:tcPr>
            <w:tcW w:type="dxa" w:w="7160"/>
            <w:tcBorders>
              <w:top w:val="single" w:color="CBD5E1" w:sz="4"/>
              <w:left w:val="single" w:color="CBD5E1" w:sz="4"/>
              <w:bottom w:val="single" w:color="CBD5E1" w:sz="4"/>
              <w:right w:val="single" w:color="CBD5E1" w:sz="4"/>
            </w:tcBorders>
            <w:shd w:fill="1D6FB8" w:val="clear"/>
            <w:tcMar>
              <w:top w:type="dxa" w:w="60"/>
              <w:left w:type="dxa" w:w="120"/>
              <w:bottom w:type="dxa" w:w="60"/>
              <w:right w:type="dxa" w:w="120"/>
            </w:tcMar>
            <w:vAlign w:val="center"/>
          </w:tcPr>
          <w:p>
            <w:pPr>
              <w:spacing w:after="0" w:line="264"/>
              <w:jc w:val="left"/>
            </w:pPr>
            <w:r>
              <w:rPr>
                <w:rFonts w:ascii="Calibri" w:cs="Calibri" w:eastAsia="Calibri" w:hAnsi="Calibri"/>
                <w:b/>
                <w:bCs/>
                <w:color w:val="FFFFFF"/>
                <w:sz w:val="19"/>
                <w:szCs w:val="19"/>
              </w:rPr>
              <w:t xml:space="preserve">How they use Veebase</w:t>
            </w:r>
          </w:p>
        </w:tc>
      </w:tr>
      <w:tr>
        <w:tc>
          <w:tcPr>
            <w:tcW w:type="dxa" w:w="22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Billing specialist</w:t>
            </w:r>
          </w:p>
        </w:tc>
        <w:tc>
          <w:tcPr>
            <w:tcW w:type="dxa" w:w="71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Works the exceptions queue: reviews claims paused at REVIEW gates, supplies missing authorisation, corrects coding, re-runs the agents.</w:t>
            </w:r>
          </w:p>
        </w:tc>
      </w:tr>
      <w:tr>
        <w:tc>
          <w:tcPr>
            <w:tcW w:type="dxa" w:w="22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RCM manager</w:t>
            </w:r>
          </w:p>
        </w:tc>
        <w:tc>
          <w:tcPr>
            <w:tcW w:type="dxa" w:w="716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Monitors the dashboard KPIs and pipeline, manages escalations, approves high-value submissions and write-offs.</w:t>
            </w:r>
          </w:p>
        </w:tc>
      </w:tr>
      <w:tr>
        <w:tc>
          <w:tcPr>
            <w:tcW w:type="dxa" w:w="22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Compliance officer</w:t>
            </w:r>
          </w:p>
        </w:tc>
        <w:tc>
          <w:tcPr>
            <w:tcW w:type="dxa" w:w="71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Reviews the audit trail and fraud escalations; exports evidence for audit.</w:t>
            </w:r>
          </w:p>
        </w:tc>
      </w:tr>
      <w:tr>
        <w:tc>
          <w:tcPr>
            <w:tcW w:type="dxa" w:w="22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Front desk / scheduler</w:t>
            </w:r>
          </w:p>
        </w:tc>
        <w:tc>
          <w:tcPr>
            <w:tcW w:type="dxa" w:w="716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Runs eligibility pre-checks at registration.</w:t>
            </w:r>
          </w:p>
        </w:tc>
      </w:tr>
      <w:tr>
        <w:tc>
          <w:tcPr>
            <w:tcW w:type="dxa" w:w="22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Integration engineer</w:t>
            </w:r>
          </w:p>
        </w:tc>
        <w:tc>
          <w:tcPr>
            <w:tcW w:type="dxa" w:w="71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Connects the HIS/EHR via REST/FHIR, registers webhooks, manages API keys.</w:t>
            </w:r>
          </w:p>
        </w:tc>
      </w:tr>
    </w:tbl>
    <w:p>
      <w:pPr>
        <w:pStyle w:val="Heading2"/>
        <w:spacing w:after="120" w:before="240"/>
      </w:pPr>
      <w:r>
        <w:rPr>
          <w:rFonts w:ascii="Calibri" w:cs="Calibri" w:eastAsia="Calibri" w:hAnsi="Calibri"/>
        </w:rPr>
        <w:t xml:space="preserve">7.2 A claim, end to end</w:t>
      </w:r>
    </w:p>
    <w:p>
      <w:pPr>
        <w:pStyle w:val="ListParagraph"/>
        <w:numPr>
          <w:ilvl w:val="0"/>
          <w:numId w:val="3"/>
        </w:numPr>
        <w:spacing w:after="80" w:line="270"/>
      </w:pPr>
      <w:r>
        <w:rPr>
          <w:rFonts w:ascii="Calibri" w:cs="Calibri" w:eastAsia="Calibri" w:hAnsi="Calibri"/>
        </w:rPr>
        <w:t xml:space="preserve">A claim is created — in the UI, via the REST/FHIR API, or from an ingested PDF.</w:t>
      </w:r>
    </w:p>
    <w:p>
      <w:pPr>
        <w:pStyle w:val="ListParagraph"/>
        <w:numPr>
          <w:ilvl w:val="0"/>
          <w:numId w:val="3"/>
        </w:numPr>
        <w:spacing w:after="80" w:line="270"/>
      </w:pPr>
      <w:r>
        <w:rPr>
          <w:rFonts w:ascii="Calibri" w:cs="Calibri" w:eastAsia="Calibri" w:hAnsi="Calibri"/>
        </w:rPr>
        <w:t xml:space="preserve">The engine scores it and the agents begin processing, advancing automatically through low-risk stages.</w:t>
      </w:r>
    </w:p>
    <w:p>
      <w:pPr>
        <w:pStyle w:val="ListParagraph"/>
        <w:numPr>
          <w:ilvl w:val="0"/>
          <w:numId w:val="3"/>
        </w:numPr>
        <w:spacing w:after="80" w:line="270"/>
      </w:pPr>
      <w:r>
        <w:rPr>
          <w:rFonts w:ascii="Calibri" w:cs="Calibri" w:eastAsia="Calibri" w:hAnsi="Calibri"/>
        </w:rPr>
        <w:t xml:space="preserve">At the first gate requiring a human, the claim pauses and appears on the relevant worklist.</w:t>
      </w:r>
    </w:p>
    <w:p>
      <w:pPr>
        <w:pStyle w:val="ListParagraph"/>
        <w:numPr>
          <w:ilvl w:val="0"/>
          <w:numId w:val="3"/>
        </w:numPr>
        <w:spacing w:after="80" w:line="270"/>
      </w:pPr>
      <w:r>
        <w:rPr>
          <w:rFonts w:ascii="Calibri" w:cs="Calibri" w:eastAsia="Calibri" w:hAnsi="Calibri"/>
        </w:rPr>
        <w:t xml:space="preserve">A staff member resolves the exception and re-runs the agents; the claim continues to submission.</w:t>
      </w:r>
    </w:p>
    <w:p>
      <w:pPr>
        <w:pStyle w:val="ListParagraph"/>
        <w:numPr>
          <w:ilvl w:val="0"/>
          <w:numId w:val="3"/>
        </w:numPr>
        <w:spacing w:after="80" w:line="270"/>
      </w:pPr>
      <w:r>
        <w:rPr>
          <w:rFonts w:ascii="Calibri" w:cs="Calibri" w:eastAsia="Calibri" w:hAnsi="Calibri"/>
        </w:rPr>
        <w:t xml:space="preserve">The payer adjudicates; approved claims are paid and reconciled, denied claims enter appeals.</w:t>
      </w:r>
    </w:p>
    <w:p>
      <w:pPr>
        <w:pStyle w:val="ListParagraph"/>
        <w:numPr>
          <w:ilvl w:val="0"/>
          <w:numId w:val="3"/>
        </w:numPr>
        <w:spacing w:after="80" w:line="270"/>
      </w:pPr>
      <w:r>
        <w:rPr>
          <w:rFonts w:ascii="Calibri" w:cs="Calibri" w:eastAsia="Calibri" w:hAnsi="Calibri"/>
        </w:rPr>
        <w:t xml:space="preserve">Every step is audited and broadcast to subscribed systems via webhooks.</w:t>
      </w:r>
    </w:p>
    <w:p>
      <w:pPr>
        <w:pStyle w:val="Heading2"/>
        <w:spacing w:after="120" w:before="240"/>
      </w:pPr>
      <w:r>
        <w:rPr>
          <w:rFonts w:ascii="Calibri" w:cs="Calibri" w:eastAsia="Calibri" w:hAnsi="Calibri"/>
        </w:rPr>
        <w:t xml:space="preserve">7.3 Running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4"/>
              <w:left w:val="single" w:color="1D6FB8" w:sz="24"/>
              <w:bottom w:val="single" w:color="CBD5E1" w:sz="4"/>
              <w:right w:val="single" w:color="CBD5E1" w:sz="4"/>
            </w:tcBorders>
            <w:shd w:fill="F4F8FC" w:val="clear"/>
            <w:tcMar>
              <w:top w:type="dxa" w:w="120"/>
              <w:left w:type="dxa" w:w="200"/>
              <w:bottom w:type="dxa" w:w="120"/>
              <w:right w:type="dxa" w:w="160"/>
            </w:tcMar>
          </w:tcPr>
          <w:p>
            <w:pPr>
              <w:spacing w:after="60"/>
            </w:pPr>
            <w:r>
              <w:rPr>
                <w:rFonts w:ascii="Calibri" w:cs="Calibri" w:eastAsia="Calibri" w:hAnsi="Calibri"/>
                <w:b/>
                <w:bCs/>
                <w:color w:val="0B1F3A"/>
              </w:rPr>
              <w:t xml:space="preserve">Quick start (developer)</w:t>
            </w:r>
          </w:p>
          <w:p>
            <w:pPr>
              <w:spacing w:after="40" w:line="264"/>
            </w:pPr>
            <w:r>
              <w:rPr>
                <w:rFonts w:ascii="Calibri" w:cs="Calibri" w:eastAsia="Calibri" w:hAnsi="Calibri"/>
              </w:rPr>
              <w:t xml:space="preserve">1. Install dependencies:  bun install</w:t>
            </w:r>
          </w:p>
          <w:p>
            <w:pPr>
              <w:spacing w:after="40" w:line="264"/>
            </w:pPr>
            <w:r>
              <w:rPr>
                <w:rFonts w:ascii="Calibri" w:cs="Calibri" w:eastAsia="Calibri" w:hAnsi="Calibri"/>
              </w:rPr>
              <w:t xml:space="preserve">2. Prepare the database:  bunx prisma generate &amp;&amp; bunx prisma db push</w:t>
            </w:r>
          </w:p>
          <w:p>
            <w:pPr>
              <w:spacing w:after="40" w:line="264"/>
            </w:pPr>
            <w:r>
              <w:rPr>
                <w:rFonts w:ascii="Calibri" w:cs="Calibri" w:eastAsia="Calibri" w:hAnsi="Calibri"/>
              </w:rPr>
              <w:t xml:space="preserve">3. Seed demo data:        bun run prisma/seed.ts</w:t>
            </w:r>
          </w:p>
          <w:p>
            <w:pPr>
              <w:spacing w:after="40" w:line="264"/>
            </w:pPr>
            <w:r>
              <w:rPr>
                <w:rFonts w:ascii="Calibri" w:cs="Calibri" w:eastAsia="Calibri" w:hAnsi="Calibri"/>
              </w:rPr>
              <w:t xml:space="preserve">4. Start:                 bun run dev   (or  bun run build &amp;&amp; bun run start)</w:t>
            </w:r>
          </w:p>
          <w:p>
            <w:pPr>
              <w:spacing w:after="40" w:line="264"/>
            </w:pPr>
            <w:r>
              <w:rPr>
                <w:rFonts w:ascii="Calibri" w:cs="Calibri" w:eastAsia="Calibri" w:hAnsi="Calibri"/>
              </w:rPr>
              <w:t xml:space="preserve">API reference &amp; live explorer:  /docs    ·    OpenAPI:  /api/openapi.json</w:t>
            </w:r>
          </w:p>
        </w:tc>
      </w:tr>
    </w:tbl>
    <w:p>
      <w:r>
        <w:br w:type="page"/>
      </w:r>
    </w:p>
    <w:p>
      <w:pPr>
        <w:pStyle w:val="Heading1"/>
        <w:spacing w:after="160" w:before="320"/>
      </w:pPr>
      <w:r>
        <w:rPr>
          <w:rFonts w:ascii="Calibri" w:cs="Calibri" w:eastAsia="Calibri" w:hAnsi="Calibri"/>
        </w:rPr>
        <w:t xml:space="preserve">8. Business Benefits &amp; KPIs</w:t>
      </w:r>
    </w:p>
    <w:p>
      <w:pPr>
        <w:spacing w:after="140" w:line="276"/>
        <w:jc w:val="both"/>
      </w:pPr>
      <w:r>
        <w:rPr>
          <w:rFonts w:ascii="Calibri" w:cs="Calibri" w:eastAsia="Calibri" w:hAnsi="Calibri"/>
        </w:rPr>
        <w:t xml:space="preserve">Veebase targets the metrics that determine a provider’s financial health. The platform tracks these KPIs continuously and surfaces them on the analytics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rPr>
          <w:tblHeader/>
        </w:trPr>
        <w:tc>
          <w:tcPr>
            <w:tcW w:type="dxa" w:w="2600"/>
            <w:tcBorders>
              <w:top w:val="single" w:color="CBD5E1" w:sz="4"/>
              <w:left w:val="single" w:color="CBD5E1" w:sz="4"/>
              <w:bottom w:val="single" w:color="CBD5E1" w:sz="4"/>
              <w:right w:val="single" w:color="CBD5E1" w:sz="4"/>
            </w:tcBorders>
            <w:shd w:fill="1D6FB8" w:val="clear"/>
            <w:tcMar>
              <w:top w:type="dxa" w:w="60"/>
              <w:left w:type="dxa" w:w="120"/>
              <w:bottom w:type="dxa" w:w="60"/>
              <w:right w:type="dxa" w:w="120"/>
            </w:tcMar>
            <w:vAlign w:val="center"/>
          </w:tcPr>
          <w:p>
            <w:pPr>
              <w:spacing w:after="0" w:line="264"/>
              <w:jc w:val="left"/>
            </w:pPr>
            <w:r>
              <w:rPr>
                <w:rFonts w:ascii="Calibri" w:cs="Calibri" w:eastAsia="Calibri" w:hAnsi="Calibri"/>
                <w:b/>
                <w:bCs/>
                <w:color w:val="FFFFFF"/>
                <w:sz w:val="19"/>
                <w:szCs w:val="19"/>
              </w:rPr>
              <w:t xml:space="preserve">KPI</w:t>
            </w:r>
          </w:p>
        </w:tc>
        <w:tc>
          <w:tcPr>
            <w:tcW w:type="dxa" w:w="3600"/>
            <w:tcBorders>
              <w:top w:val="single" w:color="CBD5E1" w:sz="4"/>
              <w:left w:val="single" w:color="CBD5E1" w:sz="4"/>
              <w:bottom w:val="single" w:color="CBD5E1" w:sz="4"/>
              <w:right w:val="single" w:color="CBD5E1" w:sz="4"/>
            </w:tcBorders>
            <w:shd w:fill="1D6FB8" w:val="clear"/>
            <w:tcMar>
              <w:top w:type="dxa" w:w="60"/>
              <w:left w:type="dxa" w:w="120"/>
              <w:bottom w:type="dxa" w:w="60"/>
              <w:right w:type="dxa" w:w="120"/>
            </w:tcMar>
            <w:vAlign w:val="center"/>
          </w:tcPr>
          <w:p>
            <w:pPr>
              <w:spacing w:after="0" w:line="264"/>
              <w:jc w:val="left"/>
            </w:pPr>
            <w:r>
              <w:rPr>
                <w:rFonts w:ascii="Calibri" w:cs="Calibri" w:eastAsia="Calibri" w:hAnsi="Calibri"/>
                <w:b/>
                <w:bCs/>
                <w:color w:val="FFFFFF"/>
                <w:sz w:val="19"/>
                <w:szCs w:val="19"/>
              </w:rPr>
              <w:t xml:space="preserve">What it measures</w:t>
            </w:r>
          </w:p>
        </w:tc>
        <w:tc>
          <w:tcPr>
            <w:tcW w:type="dxa" w:w="3160"/>
            <w:tcBorders>
              <w:top w:val="single" w:color="CBD5E1" w:sz="4"/>
              <w:left w:val="single" w:color="CBD5E1" w:sz="4"/>
              <w:bottom w:val="single" w:color="CBD5E1" w:sz="4"/>
              <w:right w:val="single" w:color="CBD5E1" w:sz="4"/>
            </w:tcBorders>
            <w:shd w:fill="1D6FB8" w:val="clear"/>
            <w:tcMar>
              <w:top w:type="dxa" w:w="60"/>
              <w:left w:type="dxa" w:w="120"/>
              <w:bottom w:type="dxa" w:w="60"/>
              <w:right w:type="dxa" w:w="120"/>
            </w:tcMar>
            <w:vAlign w:val="center"/>
          </w:tcPr>
          <w:p>
            <w:pPr>
              <w:spacing w:after="0" w:line="264"/>
              <w:jc w:val="left"/>
            </w:pPr>
            <w:r>
              <w:rPr>
                <w:rFonts w:ascii="Calibri" w:cs="Calibri" w:eastAsia="Calibri" w:hAnsi="Calibri"/>
                <w:b/>
                <w:bCs/>
                <w:color w:val="FFFFFF"/>
                <w:sz w:val="19"/>
                <w:szCs w:val="19"/>
              </w:rPr>
              <w:t xml:space="preserve">Why it matters</w:t>
            </w:r>
          </w:p>
        </w:tc>
      </w:tr>
      <w:tr>
        <w:tc>
          <w:tcPr>
            <w:tcW w:type="dxa" w:w="26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First-Pass Claim Rate</w:t>
            </w:r>
          </w:p>
        </w:tc>
        <w:tc>
          <w:tcPr>
            <w:tcW w:type="dxa" w:w="36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 of claims accepted on first submission</w:t>
            </w:r>
          </w:p>
        </w:tc>
        <w:tc>
          <w:tcPr>
            <w:tcW w:type="dxa" w:w="31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Higher rate = less rework, faster cash.</w:t>
            </w:r>
          </w:p>
        </w:tc>
      </w:tr>
      <w:tr>
        <w:tc>
          <w:tcPr>
            <w:tcW w:type="dxa" w:w="26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Denial Rate</w:t>
            </w:r>
          </w:p>
        </w:tc>
        <w:tc>
          <w:tcPr>
            <w:tcW w:type="dxa" w:w="36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 of claims denied</w:t>
            </w:r>
          </w:p>
        </w:tc>
        <w:tc>
          <w:tcPr>
            <w:tcW w:type="dxa" w:w="316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Lower denials = recovered revenue.</w:t>
            </w:r>
          </w:p>
        </w:tc>
      </w:tr>
      <w:tr>
        <w:tc>
          <w:tcPr>
            <w:tcW w:type="dxa" w:w="26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Preventable Denial Rate</w:t>
            </w:r>
          </w:p>
        </w:tc>
        <w:tc>
          <w:tcPr>
            <w:tcW w:type="dxa" w:w="36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 of denials that were avoidable</w:t>
            </w:r>
          </w:p>
        </w:tc>
        <w:tc>
          <w:tcPr>
            <w:tcW w:type="dxa" w:w="31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Directly addressed by the agents’ pre-checks.</w:t>
            </w:r>
          </w:p>
        </w:tc>
      </w:tr>
      <w:tr>
        <w:tc>
          <w:tcPr>
            <w:tcW w:type="dxa" w:w="26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Appeal Overturn Rate</w:t>
            </w:r>
          </w:p>
        </w:tc>
        <w:tc>
          <w:tcPr>
            <w:tcW w:type="dxa" w:w="36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 of appeals won</w:t>
            </w:r>
          </w:p>
        </w:tc>
        <w:tc>
          <w:tcPr>
            <w:tcW w:type="dxa" w:w="316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Recovers revenue from denied claims.</w:t>
            </w:r>
          </w:p>
        </w:tc>
      </w:tr>
      <w:tr>
        <w:tc>
          <w:tcPr>
            <w:tcW w:type="dxa" w:w="26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AR Days</w:t>
            </w:r>
          </w:p>
        </w:tc>
        <w:tc>
          <w:tcPr>
            <w:tcW w:type="dxa" w:w="36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Average days to collect</w:t>
            </w:r>
          </w:p>
        </w:tc>
        <w:tc>
          <w:tcPr>
            <w:tcW w:type="dxa" w:w="31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Lower = healthier cash flow.</w:t>
            </w:r>
          </w:p>
        </w:tc>
      </w:tr>
      <w:tr>
        <w:tc>
          <w:tcPr>
            <w:tcW w:type="dxa" w:w="26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Net Collection Rate</w:t>
            </w:r>
          </w:p>
        </w:tc>
        <w:tc>
          <w:tcPr>
            <w:tcW w:type="dxa" w:w="36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 of collectable revenue collected</w:t>
            </w:r>
          </w:p>
        </w:tc>
        <w:tc>
          <w:tcPr>
            <w:tcW w:type="dxa" w:w="316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The bottom-line efficiency of the cycle.</w:t>
            </w:r>
          </w:p>
        </w:tc>
      </w:tr>
      <w:tr>
        <w:tc>
          <w:tcPr>
            <w:tcW w:type="dxa" w:w="26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Clean Claim Rate</w:t>
            </w:r>
          </w:p>
        </w:tc>
        <w:tc>
          <w:tcPr>
            <w:tcW w:type="dxa" w:w="36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 of claims with no errors</w:t>
            </w:r>
          </w:p>
        </w:tc>
        <w:tc>
          <w:tcPr>
            <w:tcW w:type="dxa" w:w="31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Leading indicator of pipeline quality.</w:t>
            </w:r>
          </w:p>
        </w:tc>
      </w:tr>
      <w:tr>
        <w:tc>
          <w:tcPr>
            <w:tcW w:type="dxa" w:w="26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Prior-Auth Approval Rate</w:t>
            </w:r>
          </w:p>
        </w:tc>
        <w:tc>
          <w:tcPr>
            <w:tcW w:type="dxa" w:w="36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 of authorisations obtained</w:t>
            </w:r>
          </w:p>
        </w:tc>
        <w:tc>
          <w:tcPr>
            <w:tcW w:type="dxa" w:w="316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Prevents the most common denial cause.</w:t>
            </w:r>
          </w:p>
        </w:tc>
      </w:tr>
    </w:tbl>
    <w:p>
      <w:pPr>
        <w:spacing w:after="40"/>
      </w:pPr>
      <w:r>
        <w:rPr>
          <w:rFonts w:ascii="Calibri" w:cs="Calibri" w:eastAsia="Calibri" w:hAnsi="Calibri"/>
        </w:rPr>
        <w:t xml:space="preserve"/>
      </w:r>
    </w:p>
    <w:p>
      <w:pPr>
        <w:pStyle w:val="Heading2"/>
        <w:spacing w:after="120" w:before="240"/>
      </w:pPr>
      <w:r>
        <w:rPr>
          <w:rFonts w:ascii="Calibri" w:cs="Calibri" w:eastAsia="Calibri" w:hAnsi="Calibri"/>
        </w:rPr>
        <w:t xml:space="preserve">8.1 Quantified value drivers</w:t>
      </w:r>
    </w:p>
    <w:p>
      <w:pPr>
        <w:pStyle w:val="ListParagraph"/>
        <w:numPr>
          <w:ilvl w:val="0"/>
          <w:numId w:val="2"/>
        </w:numPr>
        <w:spacing w:after="80" w:line="270"/>
      </w:pPr>
      <w:r>
        <w:rPr>
          <w:rFonts w:ascii="Calibri" w:cs="Calibri" w:eastAsia="Calibri" w:hAnsi="Calibri"/>
          <w:b/>
          <w:bCs/>
        </w:rPr>
        <w:t xml:space="preserve">Fewer denials:</w:t>
      </w:r>
      <w:r>
        <w:rPr>
          <w:rFonts w:ascii="Calibri" w:cs="Calibri" w:eastAsia="Calibri" w:hAnsi="Calibri"/>
        </w:rPr>
        <w:t xml:space="preserve"> automated eligibility, prior-auth and scrubbing checks remove the most common, preventable denial causes before submission.</w:t>
      </w:r>
    </w:p>
    <w:p>
      <w:pPr>
        <w:pStyle w:val="ListParagraph"/>
        <w:numPr>
          <w:ilvl w:val="0"/>
          <w:numId w:val="2"/>
        </w:numPr>
        <w:spacing w:after="80" w:line="270"/>
      </w:pPr>
      <w:r>
        <w:rPr>
          <w:rFonts w:ascii="Calibri" w:cs="Calibri" w:eastAsia="Calibri" w:hAnsi="Calibri"/>
          <w:b/>
          <w:bCs/>
        </w:rPr>
        <w:t xml:space="preserve">Faster cash:</w:t>
      </w:r>
      <w:r>
        <w:rPr>
          <w:rFonts w:ascii="Calibri" w:cs="Calibri" w:eastAsia="Calibri" w:hAnsi="Calibri"/>
        </w:rPr>
        <w:t xml:space="preserve"> clean claims are submitted immediately and tracked against payer-specific filing deadlines, compressing AR days.</w:t>
      </w:r>
    </w:p>
    <w:p>
      <w:pPr>
        <w:pStyle w:val="ListParagraph"/>
        <w:numPr>
          <w:ilvl w:val="0"/>
          <w:numId w:val="2"/>
        </w:numPr>
        <w:spacing w:after="80" w:line="270"/>
      </w:pPr>
      <w:r>
        <w:rPr>
          <w:rFonts w:ascii="Calibri" w:cs="Calibri" w:eastAsia="Calibri" w:hAnsi="Calibri"/>
          <w:b/>
          <w:bCs/>
        </w:rPr>
        <w:t xml:space="preserve">Lower cost-to-collect:</w:t>
      </w:r>
      <w:r>
        <w:rPr>
          <w:rFonts w:ascii="Calibri" w:cs="Calibri" w:eastAsia="Calibri" w:hAnsi="Calibri"/>
        </w:rPr>
        <w:t xml:space="preserve"> staff handle only exceptions, not every claim, raising throughput per employee.</w:t>
      </w:r>
    </w:p>
    <w:p>
      <w:pPr>
        <w:pStyle w:val="ListParagraph"/>
        <w:numPr>
          <w:ilvl w:val="0"/>
          <w:numId w:val="2"/>
        </w:numPr>
        <w:spacing w:after="80" w:line="270"/>
      </w:pPr>
      <w:r>
        <w:rPr>
          <w:rFonts w:ascii="Calibri" w:cs="Calibri" w:eastAsia="Calibri" w:hAnsi="Calibri"/>
          <w:b/>
          <w:bCs/>
        </w:rPr>
        <w:t xml:space="preserve">Revenue integrity:</w:t>
      </w:r>
      <w:r>
        <w:rPr>
          <w:rFonts w:ascii="Calibri" w:cs="Calibri" w:eastAsia="Calibri" w:hAnsi="Calibri"/>
        </w:rPr>
        <w:t xml:space="preserve"> charge-capture and fraud screening recover under-billed revenue and prevent compliance losses.</w:t>
      </w:r>
    </w:p>
    <w:p>
      <w:pPr>
        <w:pStyle w:val="ListParagraph"/>
        <w:numPr>
          <w:ilvl w:val="0"/>
          <w:numId w:val="2"/>
        </w:numPr>
        <w:spacing w:after="80" w:line="270"/>
      </w:pPr>
      <w:r>
        <w:rPr>
          <w:rFonts w:ascii="Calibri" w:cs="Calibri" w:eastAsia="Calibri" w:hAnsi="Calibri"/>
          <w:b/>
          <w:bCs/>
        </w:rPr>
        <w:t xml:space="preserve">Auditability:</w:t>
      </w:r>
      <w:r>
        <w:rPr>
          <w:rFonts w:ascii="Calibri" w:cs="Calibri" w:eastAsia="Calibri" w:hAnsi="Calibri"/>
        </w:rPr>
        <w:t xml:space="preserve"> a complete decision trail reduces compliance risk and accelerates audits.</w:t>
      </w:r>
    </w:p>
    <w:p>
      <w:pPr>
        <w:pStyle w:val="ListParagraph"/>
        <w:numPr>
          <w:ilvl w:val="0"/>
          <w:numId w:val="2"/>
        </w:numPr>
        <w:spacing w:after="80" w:line="270"/>
      </w:pPr>
      <w:r>
        <w:rPr>
          <w:rFonts w:ascii="Calibri" w:cs="Calibri" w:eastAsia="Calibri" w:hAnsi="Calibri"/>
          <w:b/>
          <w:bCs/>
        </w:rPr>
        <w:t xml:space="preserve">Scalability:</w:t>
      </w:r>
      <w:r>
        <w:rPr>
          <w:rFonts w:ascii="Calibri" w:cs="Calibri" w:eastAsia="Calibri" w:hAnsi="Calibri"/>
        </w:rPr>
        <w:t xml:space="preserve"> rising claim volumes from expanding insurance coverage are absorbed without proportional headcount growth.</w:t>
      </w:r>
    </w:p>
    <w:p>
      <w:pPr>
        <w:pStyle w:val="Heading1"/>
        <w:spacing w:after="160" w:before="320"/>
      </w:pPr>
      <w:r>
        <w:rPr>
          <w:rFonts w:ascii="Calibri" w:cs="Calibri" w:eastAsia="Calibri" w:hAnsi="Calibri"/>
        </w:rPr>
        <w:t xml:space="preserve">9. Governance Maturity &amp; Roadmap</w:t>
      </w:r>
    </w:p>
    <w:p>
      <w:pPr>
        <w:spacing w:after="140" w:line="276"/>
        <w:jc w:val="both"/>
      </w:pPr>
      <w:r>
        <w:rPr>
          <w:rFonts w:ascii="Calibri" w:cs="Calibri" w:eastAsia="Calibri" w:hAnsi="Calibri"/>
        </w:rPr>
        <w:t xml:space="preserve">Veebase is designed to earn autonomy progressively as trust is established: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5960"/>
      </w:tblGrid>
      <w:tr>
        <w:trPr>
          <w:tblHeader/>
        </w:trPr>
        <w:tc>
          <w:tcPr>
            <w:tcW w:type="dxa" w:w="1500"/>
            <w:tcBorders>
              <w:top w:val="single" w:color="CBD5E1" w:sz="4"/>
              <w:left w:val="single" w:color="CBD5E1" w:sz="4"/>
              <w:bottom w:val="single" w:color="CBD5E1" w:sz="4"/>
              <w:right w:val="single" w:color="CBD5E1" w:sz="4"/>
            </w:tcBorders>
            <w:shd w:fill="1D6FB8" w:val="clear"/>
            <w:tcMar>
              <w:top w:type="dxa" w:w="60"/>
              <w:left w:type="dxa" w:w="120"/>
              <w:bottom w:type="dxa" w:w="60"/>
              <w:right w:type="dxa" w:w="120"/>
            </w:tcMar>
            <w:vAlign w:val="center"/>
          </w:tcPr>
          <w:p>
            <w:pPr>
              <w:spacing w:after="0" w:line="264"/>
              <w:jc w:val="left"/>
            </w:pPr>
            <w:r>
              <w:rPr>
                <w:rFonts w:ascii="Calibri" w:cs="Calibri" w:eastAsia="Calibri" w:hAnsi="Calibri"/>
                <w:b/>
                <w:bCs/>
                <w:color w:val="FFFFFF"/>
                <w:sz w:val="19"/>
                <w:szCs w:val="19"/>
              </w:rPr>
              <w:t xml:space="preserve">Phase</w:t>
            </w:r>
          </w:p>
        </w:tc>
        <w:tc>
          <w:tcPr>
            <w:tcW w:type="dxa" w:w="1900"/>
            <w:tcBorders>
              <w:top w:val="single" w:color="CBD5E1" w:sz="4"/>
              <w:left w:val="single" w:color="CBD5E1" w:sz="4"/>
              <w:bottom w:val="single" w:color="CBD5E1" w:sz="4"/>
              <w:right w:val="single" w:color="CBD5E1" w:sz="4"/>
            </w:tcBorders>
            <w:shd w:fill="1D6FB8" w:val="clear"/>
            <w:tcMar>
              <w:top w:type="dxa" w:w="60"/>
              <w:left w:type="dxa" w:w="120"/>
              <w:bottom w:type="dxa" w:w="60"/>
              <w:right w:type="dxa" w:w="120"/>
            </w:tcMar>
            <w:vAlign w:val="center"/>
          </w:tcPr>
          <w:p>
            <w:pPr>
              <w:spacing w:after="0" w:line="264"/>
              <w:jc w:val="left"/>
            </w:pPr>
            <w:r>
              <w:rPr>
                <w:rFonts w:ascii="Calibri" w:cs="Calibri" w:eastAsia="Calibri" w:hAnsi="Calibri"/>
                <w:b/>
                <w:bCs/>
                <w:color w:val="FFFFFF"/>
                <w:sz w:val="19"/>
                <w:szCs w:val="19"/>
              </w:rPr>
              <w:t xml:space="preserve">Mode</w:t>
            </w:r>
          </w:p>
        </w:tc>
        <w:tc>
          <w:tcPr>
            <w:tcW w:type="dxa" w:w="5960"/>
            <w:tcBorders>
              <w:top w:val="single" w:color="CBD5E1" w:sz="4"/>
              <w:left w:val="single" w:color="CBD5E1" w:sz="4"/>
              <w:bottom w:val="single" w:color="CBD5E1" w:sz="4"/>
              <w:right w:val="single" w:color="CBD5E1" w:sz="4"/>
            </w:tcBorders>
            <w:shd w:fill="1D6FB8" w:val="clear"/>
            <w:tcMar>
              <w:top w:type="dxa" w:w="60"/>
              <w:left w:type="dxa" w:w="120"/>
              <w:bottom w:type="dxa" w:w="60"/>
              <w:right w:type="dxa" w:w="120"/>
            </w:tcMar>
            <w:vAlign w:val="center"/>
          </w:tcPr>
          <w:p>
            <w:pPr>
              <w:spacing w:after="0" w:line="264"/>
              <w:jc w:val="left"/>
            </w:pPr>
            <w:r>
              <w:rPr>
                <w:rFonts w:ascii="Calibri" w:cs="Calibri" w:eastAsia="Calibri" w:hAnsi="Calibri"/>
                <w:b/>
                <w:bCs/>
                <w:color w:val="FFFFFF"/>
                <w:sz w:val="19"/>
                <w:szCs w:val="19"/>
              </w:rPr>
              <w:t xml:space="preserve">Description</w:t>
            </w:r>
          </w:p>
        </w:tc>
      </w:tr>
      <w:tr>
        <w:tc>
          <w:tcPr>
            <w:tcW w:type="dxa" w:w="15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Phase 1</w:t>
            </w:r>
          </w:p>
        </w:tc>
        <w:tc>
          <w:tcPr>
            <w:tcW w:type="dxa" w:w="19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Assistive</w:t>
            </w:r>
          </w:p>
        </w:tc>
        <w:tc>
          <w:tcPr>
            <w:tcW w:type="dxa" w:w="59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Agents recommend; humans approve at REVIEW/APPROVE gates. (Current.)</w:t>
            </w:r>
          </w:p>
        </w:tc>
      </w:tr>
      <w:tr>
        <w:tc>
          <w:tcPr>
            <w:tcW w:type="dxa" w:w="15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Phase 2</w:t>
            </w:r>
          </w:p>
        </w:tc>
        <w:tc>
          <w:tcPr>
            <w:tcW w:type="dxa" w:w="190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Supervised</w:t>
            </w:r>
          </w:p>
        </w:tc>
        <w:tc>
          <w:tcPr>
            <w:tcW w:type="dxa" w:w="5960"/>
            <w:tcBorders>
              <w:top w:val="single" w:color="CBD5E1" w:sz="4"/>
              <w:left w:val="single" w:color="CBD5E1" w:sz="4"/>
              <w:bottom w:val="single" w:color="CBD5E1" w:sz="4"/>
              <w:right w:val="single" w:color="CBD5E1" w:sz="4"/>
            </w:tcBorders>
            <w:shd w:fill="F4F8FC"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Expanded auto-handling of proven low-risk paths; humans supervise by exception.</w:t>
            </w:r>
          </w:p>
        </w:tc>
      </w:tr>
      <w:tr>
        <w:tc>
          <w:tcPr>
            <w:tcW w:type="dxa" w:w="15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Phase 3</w:t>
            </w:r>
          </w:p>
        </w:tc>
        <w:tc>
          <w:tcPr>
            <w:tcW w:type="dxa" w:w="190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Scaled</w:t>
            </w:r>
          </w:p>
        </w:tc>
        <w:tc>
          <w:tcPr>
            <w:tcW w:type="dxa" w:w="5960"/>
            <w:tcBorders>
              <w:top w:val="single" w:color="CBD5E1" w:sz="4"/>
              <w:left w:val="single" w:color="CBD5E1" w:sz="4"/>
              <w:bottom w:val="single" w:color="CBD5E1" w:sz="4"/>
              <w:right w:val="single" w:color="CBD5E1" w:sz="4"/>
            </w:tcBorders>
            <w:shd w:fill="FFFFFF" w:val="clear"/>
            <w:tcMar>
              <w:top w:type="dxa" w:w="60"/>
              <w:left w:type="dxa" w:w="120"/>
              <w:bottom w:type="dxa" w:w="60"/>
              <w:right w:type="dxa" w:w="120"/>
            </w:tcMar>
            <w:vAlign w:val="center"/>
          </w:tcPr>
          <w:p>
            <w:pPr>
              <w:spacing w:after="0" w:line="264"/>
              <w:jc w:val="left"/>
            </w:pPr>
            <w:r>
              <w:rPr>
                <w:rFonts w:ascii="Calibri" w:cs="Calibri" w:eastAsia="Calibri" w:hAnsi="Calibri"/>
                <w:b w:val="false"/>
                <w:bCs w:val="false"/>
                <w:color w:val="1F2937"/>
                <w:sz w:val="19"/>
                <w:szCs w:val="19"/>
              </w:rPr>
              <w:t xml:space="preserve">Broad autonomy for routine claims; humans focus on complex and high-value cases.</w:t>
            </w:r>
          </w:p>
        </w:tc>
      </w:tr>
    </w:tbl>
    <w:p>
      <w:pPr>
        <w:pStyle w:val="Heading1"/>
        <w:spacing w:after="160" w:before="320"/>
      </w:pPr>
      <w:r>
        <w:rPr>
          <w:rFonts w:ascii="Calibri" w:cs="Calibri" w:eastAsia="Calibri" w:hAnsi="Calibri"/>
        </w:rPr>
        <w:t xml:space="preserve">10. Conclusion</w:t>
      </w:r>
    </w:p>
    <w:p>
      <w:pPr>
        <w:spacing w:after="140" w:line="276"/>
        <w:jc w:val="both"/>
      </w:pPr>
      <w:r>
        <w:rPr>
          <w:rFonts w:ascii="Calibri" w:cs="Calibri" w:eastAsia="Calibri" w:hAnsi="Calibri"/>
        </w:rPr>
        <w:t xml:space="preserve">Veebase RCM Intelligence Platform combines the speed of autonomous agents with the safety of human governance, the openness of standards-based integration, and the local fluency of a bilingual, NHIA-aware design. It does not merely digitise the revenue cycle — it operates it, end to end, while keeping clinicians and billers in command of every consequential decision.</w:t>
      </w:r>
    </w:p>
    <w:p>
      <w:pPr>
        <w:spacing w:after="140" w:line="276"/>
        <w:jc w:val="both"/>
      </w:pPr>
      <w:r>
        <w:rPr>
          <w:rFonts w:ascii="Calibri" w:cs="Calibri" w:eastAsia="Calibri" w:hAnsi="Calibri"/>
        </w:rPr>
        <w:t xml:space="preserve">The result is a platform that reduces denials, accelerates cash, lowers the cost to collect, and produces a complete, defensible record of every action — ready to plug into any hospital information system, insurer or analytics stack, in or out.</w:t>
      </w:r>
    </w:p>
    <w:p>
      <w:pPr>
        <w:spacing w:after="120"/>
      </w:pPr>
      <w:r>
        <w:rPr>
          <w:rFonts w:ascii="Calibri" w:cs="Calibri" w:eastAsia="Calibri" w:hAnsi="Calibri"/>
        </w:rPr>
        <w:t xml:space="preserve"/>
      </w:r>
    </w:p>
    <w:p>
      <w:pPr>
        <w:jc w:val="center"/>
      </w:pPr>
      <w:r>
        <w:rPr>
          <w:rFonts w:ascii="Calibri" w:cs="Calibri" w:eastAsia="Calibri" w:hAnsi="Calibri"/>
          <w:i/>
          <w:iCs/>
          <w:color w:val="6B7280"/>
        </w:rPr>
        <w:t xml:space="preserve">Veebase RCM Intelligence Platform — Version 1.0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Page </w:t>
    </w:r>
    <w:r>
      <w:rPr>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60"/>
      </w:tabs>
    </w:pPr>
    <w:r>
      <w:rPr>
        <w:rFonts w:ascii="Calibri" w:cs="Calibri" w:eastAsia="Calibri" w:hAnsi="Calibri"/>
        <w:color w:val="6B7280"/>
        <w:sz w:val="16"/>
        <w:szCs w:val="16"/>
      </w:rPr>
      <w:t xml:space="preserve">Veebase RCM Intelligence Platform</w:t>
    </w:r>
    <w:r>
      <w:rPr>
        <w:rFonts w:ascii="Calibri" w:cs="Calibri" w:eastAsia="Calibri" w:hAnsi="Calibri"/>
        <w:color w:val="6B7280"/>
        <w:sz w:val="16"/>
        <w:szCs w:val="16"/>
      </w:rPr>
      <w:t xml:space="preserve">	Solution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6FB8" w:sz="8" w:space="6"/>
      </w:pBdr>
      <w:spacing w:after="160" w:before="320"/>
      <w:outlineLvl w:val="0"/>
    </w:pPr>
    <w:rPr>
      <w:rFonts w:ascii="Calibri" w:cs="Calibri" w:eastAsia="Calibri" w:hAnsi="Calibri"/>
      <w:b/>
      <w:bCs/>
      <w:color w:val="0B1F3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D6FB8"/>
      <w:sz w:val="25"/>
      <w:szCs w:val="25"/>
    </w:rPr>
  </w:style>
  <w:style w:type="paragraph" w:styleId="Heading3">
    <w:name w:val="Heading 3"/>
    <w:basedOn w:val="Normal"/>
    <w:next w:val="Normal"/>
    <w:qFormat/>
    <w:pPr>
      <w:spacing w:after="80" w:before="180"/>
      <w:outlineLvl w:val="2"/>
    </w:pPr>
    <w:rPr>
      <w:rFonts w:ascii="Calibri" w:cs="Calibri" w:eastAsia="Calibri" w:hAnsi="Calibri"/>
      <w:b/>
      <w:bCs/>
      <w:color w:val="0E7C7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Veebase RCM Intelligence Platform — Solution Document</dc:title>
  <dc:creator>Veebase</dc:creator>
  <dc:description>Agentic AI for Healthcare Revenue Cycle Management</dc:description>
  <cp:lastModifiedBy>Un-named</cp:lastModifiedBy>
  <cp:revision>1</cp:revision>
  <dcterms:created xsi:type="dcterms:W3CDTF">2026-06-05T06:43:14.863Z</dcterms:created>
  <dcterms:modified xsi:type="dcterms:W3CDTF">2026-06-05T06:43:14.863Z</dcterms:modified>
</cp:coreProperties>
</file>

<file path=docProps/custom.xml><?xml version="1.0" encoding="utf-8"?>
<Properties xmlns="http://schemas.openxmlformats.org/officeDocument/2006/custom-properties" xmlns:vt="http://schemas.openxmlformats.org/officeDocument/2006/docPropsVTypes"/>
</file>