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rFonts w:ascii="Calibri" w:cs="Calibri" w:eastAsia="Calibri" w:hAnsi="Calibri"/>
          <w:b/>
          <w:bCs/>
          <w:color w:val="1D6FB8"/>
          <w:spacing w:val="60"/>
          <w:sz w:val="56"/>
          <w:szCs w:val="56"/>
        </w:rPr>
        <w:t xml:space="preserve">VEEBASE</w:t>
      </w:r>
    </w:p>
    <w:p>
      <w:pPr>
        <w:spacing w:after="40"/>
        <w:jc w:val="center"/>
      </w:pPr>
      <w:r>
        <w:rPr>
          <w:rFonts w:ascii="Calibri" w:cs="Calibri" w:eastAsia="Calibri" w:hAnsi="Calibri"/>
          <w:b/>
          <w:bCs/>
          <w:color w:val="0B1F3A"/>
          <w:sz w:val="36"/>
          <w:szCs w:val="36"/>
        </w:rPr>
        <w:t xml:space="preserve">RCM INTELLIGENCE PLATFORM</w:t>
      </w:r>
    </w:p>
    <w:p>
      <w:pPr>
        <w:pBdr>
          <w:bottom w:val="single" w:color="0E7C7B" w:sz="12" w:space="8"/>
        </w:pBdr>
        <w:spacing w:after="240"/>
        <w:jc w:val="center"/>
      </w:pPr>
      <w:r>
        <w:rPr>
          <w:rFonts w:ascii="Calibri" w:cs="Calibri" w:eastAsia="Calibri" w:hAnsi="Calibri"/>
        </w:rPr>
        <w:t xml:space="preserve"/>
      </w:r>
    </w:p>
    <w:p>
      <w:pPr>
        <w:spacing w:after="200"/>
        <w:jc w:val="center"/>
      </w:pPr>
      <w:r>
        <w:rPr>
          <w:rFonts w:ascii="Calibri" w:cs="Calibri" w:eastAsia="Calibri" w:hAnsi="Calibri"/>
          <w:b w:val="false"/>
          <w:bCs w:val="false"/>
          <w:color w:val="0E7C7B"/>
          <w:sz w:val="26"/>
          <w:szCs w:val="26"/>
        </w:rPr>
        <w:t xml:space="preserve">Agentic AI for Healthcare Revenue Cycle Management</w:t>
      </w:r>
    </w:p>
    <w:p>
      <w:pPr>
        <w:spacing w:after="700"/>
        <w:jc w:val="center"/>
      </w:pPr>
      <w:r>
        <w:rPr>
          <w:rFonts w:ascii="Calibri" w:cs="Calibri" w:eastAsia="Calibri" w:hAnsi="Calibri"/>
          <w:b w:val="false"/>
          <w:bCs w:val="false"/>
          <w:color w:val="6B7280"/>
          <w:sz w:val="21"/>
          <w:szCs w:val="21"/>
        </w:rPr>
        <w:t xml:space="preserve">Solution Overview · Use Cases · Operating Guide · Security · Benefits</w:t>
      </w:r>
    </w:p>
    <w:p>
      <w:pPr>
        <w:spacing w:after="40"/>
        <w:jc w:val="center"/>
      </w:pPr>
      <w:r>
        <w:rPr>
          <w:rFonts w:ascii="Calibri" w:cs="Calibri" w:eastAsia="Calibri" w:hAnsi="Calibri"/>
          <w:color w:val="374151"/>
          <w:sz w:val="22"/>
          <w:szCs w:val="22"/>
        </w:rPr>
        <w:t xml:space="preserve">A 12-agent autonomous platform that takes a claim from eligibility to</w:t>
      </w:r>
    </w:p>
    <w:p>
      <w:pPr>
        <w:spacing w:after="700"/>
        <w:jc w:val="center"/>
      </w:pPr>
      <w:r>
        <w:rPr>
          <w:rFonts w:ascii="Calibri" w:cs="Calibri" w:eastAsia="Calibri" w:hAnsi="Calibri"/>
          <w:color w:val="374151"/>
          <w:sz w:val="22"/>
          <w:szCs w:val="22"/>
        </w:rPr>
        <w:t xml:space="preserve">payment — under human-in-the-loop governance, with pluggable AI and RBAC.</w:t>
      </w:r>
    </w:p>
    <w:p>
      <w:pPr>
        <w:spacing w:after="30"/>
        <w:jc w:val="center"/>
      </w:pPr>
      <w:r>
        <w:rPr>
          <w:rFonts w:ascii="Calibri" w:cs="Calibri" w:eastAsia="Calibri" w:hAnsi="Calibri"/>
          <w:b/>
          <w:bCs/>
          <w:color w:val="0B1F3A"/>
          <w:sz w:val="22"/>
          <w:szCs w:val="22"/>
        </w:rPr>
        <w:t xml:space="preserve">Technical &amp; Business Document</w:t>
      </w:r>
    </w:p>
    <w:p>
      <w:pPr>
        <w:spacing w:after="30"/>
        <w:jc w:val="center"/>
      </w:pPr>
      <w:r>
        <w:rPr>
          <w:rFonts w:ascii="Calibri" w:cs="Calibri" w:eastAsia="Calibri" w:hAnsi="Calibri"/>
          <w:b w:val="false"/>
          <w:bCs w:val="false"/>
          <w:color w:val="6B7280"/>
          <w:sz w:val="20"/>
          <w:szCs w:val="20"/>
        </w:rPr>
        <w:t xml:space="preserve">Version 1.0  ·  2026</w:t>
      </w:r>
    </w:p>
    <w:p>
      <w:r>
        <w:br w:type="page"/>
      </w:r>
    </w:p>
    <w:p>
      <w:pPr>
        <w:sectPr>
          <w:pgSz w:w="12240" w:h="15840" w:orient="portrait"/>
          <w:pgMar w:top="1440" w:right="1440" w:bottom="1440" w:left="1440" w:header="708" w:footer="708" w:gutter="0"/>
          <w:pgNumType/>
          <w:docGrid w:linePitch="360"/>
        </w:sectPr>
      </w:pPr>
    </w:p>
    <w:p>
      <w:pPr>
        <w:pStyle w:val="Heading1"/>
        <w:spacing w:after="160"/>
      </w:pPr>
      <w:r>
        <w:rPr>
          <w:rFonts w:ascii="Calibri" w:cs="Calibri" w:eastAsia="Calibri" w:hAnsi="Calibri"/>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rPr>
          <w:rFonts w:ascii="Calibri" w:cs="Calibri" w:eastAsia="Calibri" w:hAnsi="Calibri"/>
        </w:rPr>
        <w:t xml:space="preserve">1. Executive Summary</w:t>
      </w:r>
    </w:p>
    <w:p>
      <w:pPr>
        <w:spacing w:after="140" w:line="276"/>
        <w:jc w:val="both"/>
      </w:pPr>
      <w:r>
        <w:rPr>
          <w:rFonts w:ascii="Calibri" w:cs="Calibri" w:eastAsia="Calibri" w:hAnsi="Calibri"/>
        </w:rPr>
        <w:t xml:space="preserve">Veebase RCM Intelligence Platform is an agentic-AI system that automates the healthcare revenue cycle — the end-to-end process that turns a clinical encounter into collected revenue. It orchestrates twelve specialised AI agents that move a claim through every stage of its lifecycle, from insurance eligibility verification to final payment posting, while keeping clinicians and billing staff in control through an explicit human-in-the-loop (HITL) governance model.</w:t>
      </w:r>
    </w:p>
    <w:p>
      <w:pPr>
        <w:spacing w:after="140" w:line="276"/>
        <w:jc w:val="both"/>
      </w:pPr>
      <w:r>
        <w:rPr>
          <w:rFonts w:ascii="Calibri" w:cs="Calibri" w:eastAsia="Calibri" w:hAnsi="Calibri"/>
        </w:rPr>
        <w:t xml:space="preserve">The platform is purpose-built for the Egyptian and wider MENA healthcare market. It understands the National Health Insurance Authority (NHIA), private payers and self-pay patients; it works in Egyptian Pounds (EGP); and it is fully bilingual, with a complete English and Arabic interface including right-to-left layout.</w:t>
      </w:r>
    </w:p>
    <w:p>
      <w:pPr>
        <w:spacing w:after="140" w:line="276"/>
        <w:jc w:val="both"/>
      </w:pPr>
      <w:r>
        <w:rPr>
          <w:rFonts w:ascii="Calibri" w:cs="Calibri" w:eastAsia="Calibri" w:hAnsi="Calibri"/>
        </w:rPr>
        <w:t xml:space="preserve">Veebase is not a closed dashboard. It integrates with any system — inbound and outbound — via REST and HL7 FHIR R4, pushes signed webhook events to downstream systems, and runs on a pluggable AI foundation that can be pointed at cloud or fully local language models. Enterprise controls — role-based access, encryption of sensitive data, and a complete audit trail — make it deployable in regulated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1D6FB8" w:sz="24"/>
              <w:bottom w:val="single" w:color="CBD5E1" w:sz="4"/>
              <w:right w:val="single" w:color="CBD5E1" w:sz="4"/>
            </w:tcBorders>
            <w:shd w:fill="EAF2FA" w:val="clear"/>
            <w:tcMar>
              <w:top w:type="dxa" w:w="120"/>
              <w:left w:type="dxa" w:w="200"/>
              <w:bottom w:type="dxa" w:w="120"/>
              <w:right w:type="dxa" w:w="160"/>
            </w:tcMar>
          </w:tcPr>
          <w:p>
            <w:pPr>
              <w:spacing w:after="60"/>
            </w:pPr>
            <w:r>
              <w:rPr>
                <w:rFonts w:ascii="Calibri" w:cs="Calibri" w:eastAsia="Calibri" w:hAnsi="Calibri"/>
                <w:b/>
                <w:bCs/>
                <w:color w:val="0B1F3A"/>
              </w:rPr>
              <w:t xml:space="preserve">At a glance</w:t>
            </w:r>
          </w:p>
          <w:p>
            <w:pPr>
              <w:spacing w:after="40" w:line="264"/>
            </w:pPr>
            <w:r>
              <w:rPr>
                <w:rFonts w:ascii="Calibri" w:cs="Calibri" w:eastAsia="Calibri" w:hAnsi="Calibri"/>
                <w:b/>
                <w:bCs/>
              </w:rPr>
              <w:t xml:space="preserve">Twelve AI agents</w:t>
            </w:r>
            <w:r>
              <w:rPr>
                <w:rFonts w:ascii="Calibri" w:cs="Calibri" w:eastAsia="Calibri" w:hAnsi="Calibri"/>
              </w:rPr>
              <w:t xml:space="preserve"> across four functional categories drive the claim lifecycle.</w:t>
            </w:r>
          </w:p>
          <w:p>
            <w:pPr>
              <w:spacing w:after="40" w:line="264"/>
            </w:pPr>
            <w:r>
              <w:rPr>
                <w:rFonts w:ascii="Calibri" w:cs="Calibri" w:eastAsia="Calibri" w:hAnsi="Calibri"/>
                <w:b/>
                <w:bCs/>
              </w:rPr>
              <w:t xml:space="preserve">Deterministic, explainable engine</w:t>
            </w:r>
            <w:r>
              <w:rPr>
                <w:rFonts w:ascii="Calibri" w:cs="Calibri" w:eastAsia="Calibri" w:hAnsi="Calibri"/>
              </w:rPr>
              <w:t xml:space="preserve"> scores claim readiness and denial risk at every stage.</w:t>
            </w:r>
          </w:p>
          <w:p>
            <w:pPr>
              <w:spacing w:after="40" w:line="264"/>
            </w:pPr>
            <w:r>
              <w:rPr>
                <w:rFonts w:ascii="Calibri" w:cs="Calibri" w:eastAsia="Calibri" w:hAnsi="Calibri"/>
                <w:b/>
                <w:bCs/>
              </w:rPr>
              <w:t xml:space="preserve">Human-in-the-loop governance</w:t>
            </w:r>
            <w:r>
              <w:rPr>
                <w:rFonts w:ascii="Calibri" w:cs="Calibri" w:eastAsia="Calibri" w:hAnsi="Calibri"/>
              </w:rPr>
              <w:t xml:space="preserve"> — the system never auto-performs prohibited actions.</w:t>
            </w:r>
          </w:p>
          <w:p>
            <w:pPr>
              <w:spacing w:after="40" w:line="264"/>
            </w:pPr>
            <w:r>
              <w:rPr>
                <w:rFonts w:ascii="Calibri" w:cs="Calibri" w:eastAsia="Calibri" w:hAnsi="Calibri"/>
                <w:b/>
                <w:bCs/>
              </w:rPr>
              <w:t xml:space="preserve">Pluggable AI</w:t>
            </w:r>
            <w:r>
              <w:rPr>
                <w:rFonts w:ascii="Calibri" w:cs="Calibri" w:eastAsia="Calibri" w:hAnsi="Calibri"/>
              </w:rPr>
              <w:t xml:space="preserve"> — switch between cloud providers or run models fully on-premise (local).</w:t>
            </w:r>
          </w:p>
          <w:p>
            <w:pPr>
              <w:spacing w:after="40" w:line="264"/>
            </w:pPr>
            <w:r>
              <w:rPr>
                <w:rFonts w:ascii="Calibri" w:cs="Calibri" w:eastAsia="Calibri" w:hAnsi="Calibri"/>
                <w:b/>
                <w:bCs/>
              </w:rPr>
              <w:t xml:space="preserve">Role-based access control</w:t>
            </w:r>
            <w:r>
              <w:rPr>
                <w:rFonts w:ascii="Calibri" w:cs="Calibri" w:eastAsia="Calibri" w:hAnsi="Calibri"/>
              </w:rPr>
              <w:t xml:space="preserve">, </w:t>
            </w:r>
            <w:r>
              <w:rPr>
                <w:rFonts w:ascii="Calibri" w:cs="Calibri" w:eastAsia="Calibri" w:hAnsi="Calibri"/>
                <w:b/>
                <w:bCs/>
              </w:rPr>
              <w:t xml:space="preserve">encryption at rest</w:t>
            </w:r>
            <w:r>
              <w:rPr>
                <w:rFonts w:ascii="Calibri" w:cs="Calibri" w:eastAsia="Calibri" w:hAnsi="Calibri"/>
              </w:rPr>
              <w:t xml:space="preserve">, and a complete compliance audit trail.</w:t>
            </w:r>
          </w:p>
          <w:p>
            <w:pPr>
              <w:spacing w:after="40" w:line="264"/>
            </w:pPr>
            <w:r>
              <w:rPr>
                <w:rFonts w:ascii="Calibri" w:cs="Calibri" w:eastAsia="Calibri" w:hAnsi="Calibri"/>
                <w:b/>
                <w:bCs/>
              </w:rPr>
              <w:t xml:space="preserve">Integrate in &amp; out</w:t>
            </w:r>
            <w:r>
              <w:rPr>
                <w:rFonts w:ascii="Calibri" w:cs="Calibri" w:eastAsia="Calibri" w:hAnsi="Calibri"/>
              </w:rPr>
              <w:t xml:space="preserve"> — REST + FHIR R4 inbound, signed webhooks outbound, OpenAPI documented.</w:t>
            </w:r>
          </w:p>
          <w:p>
            <w:pPr>
              <w:spacing w:after="40" w:line="264"/>
            </w:pPr>
            <w:r>
              <w:rPr>
                <w:rFonts w:ascii="Calibri" w:cs="Calibri" w:eastAsia="Calibri" w:hAnsi="Calibri"/>
                <w:b/>
                <w:bCs/>
              </w:rPr>
              <w:t xml:space="preserve">Bilingual (EN/AR) with RTL</w:t>
            </w:r>
            <w:r>
              <w:rPr>
                <w:rFonts w:ascii="Calibri" w:cs="Calibri" w:eastAsia="Calibri" w:hAnsi="Calibri"/>
              </w:rPr>
              <w:t xml:space="preserve">, EGP-native, NHIA-aware.</w:t>
            </w:r>
          </w:p>
        </w:tc>
      </w:tr>
    </w:tbl>
    <w:p>
      <w:pPr>
        <w:pStyle w:val="Heading1"/>
        <w:spacing w:after="160" w:before="320"/>
      </w:pPr>
      <w:r>
        <w:rPr>
          <w:rFonts w:ascii="Calibri" w:cs="Calibri" w:eastAsia="Calibri" w:hAnsi="Calibri"/>
        </w:rPr>
        <w:t xml:space="preserve">2. The Problem: Revenue Leakage in Healthcare</w:t>
      </w:r>
    </w:p>
    <w:p>
      <w:pPr>
        <w:spacing w:after="140" w:line="276"/>
        <w:jc w:val="both"/>
      </w:pPr>
      <w:r>
        <w:rPr>
          <w:rFonts w:ascii="Calibri" w:cs="Calibri" w:eastAsia="Calibri" w:hAnsi="Calibri"/>
        </w:rPr>
        <w:t xml:space="preserve">Healthcare providers lose a significant share of earned revenue to preventable administrative failures: claims denied for missing prior authorisation, coding errors, eligibility lapses, missed timely-filing deadlines and under-documented charges. Each denial triggers costly manual rework, delays cash, and inflates Accounts Receivable (AR) days. In many facilities, 5–12% of claims are denied on first submission and a meaningful fraction are never recovered.</w:t>
      </w:r>
    </w:p>
    <w:p>
      <w:pPr>
        <w:spacing w:after="140" w:line="276"/>
        <w:jc w:val="both"/>
      </w:pPr>
      <w:r>
        <w:rPr>
          <w:rFonts w:ascii="Calibri" w:cs="Calibri" w:eastAsia="Calibri" w:hAnsi="Calibri"/>
        </w:rPr>
        <w:t xml:space="preserve">The revenue cycle is also fragmented across many disconnected steps — registration, authorisation, charge capture, coding, scrubbing, submission, adjudication, remittance, denial management and patient collections. Each hand-off is an opportunity for error and delay. Traditional RCM software automates isolated steps but rarely coordinates the whole cycle or explains its reasoning, and almost never operates safely without removing human judgement from high-stakes decisions.</w:t>
      </w:r>
    </w:p>
    <w:p>
      <w:pPr>
        <w:pStyle w:val="Heading2"/>
        <w:spacing w:after="120" w:before="240"/>
      </w:pPr>
      <w:r>
        <w:rPr>
          <w:rFonts w:ascii="Calibri" w:cs="Calibri" w:eastAsia="Calibri" w:hAnsi="Calibri"/>
        </w:rPr>
        <w:t xml:space="preserve">2.1 Why the MENA / Egyptian context is different</w:t>
      </w:r>
    </w:p>
    <w:p>
      <w:pPr>
        <w:pStyle w:val="ListParagraph"/>
        <w:numPr>
          <w:ilvl w:val="0"/>
          <w:numId w:val="2"/>
        </w:numPr>
        <w:spacing w:after="80" w:line="270"/>
      </w:pPr>
      <w:r>
        <w:rPr>
          <w:rFonts w:ascii="Calibri" w:cs="Calibri" w:eastAsia="Calibri" w:hAnsi="Calibri"/>
          <w:b/>
          <w:bCs/>
        </w:rPr>
        <w:t xml:space="preserve">Mixed payer landscape:</w:t>
      </w:r>
      <w:r>
        <w:rPr>
          <w:rFonts w:ascii="Calibri" w:cs="Calibri" w:eastAsia="Calibri" w:hAnsi="Calibri"/>
        </w:rPr>
        <w:t xml:space="preserve"> NHIA, a growing private-insurance sector, and a large self-pay population — each with different rules, thresholds and documentation requirements.</w:t>
      </w:r>
    </w:p>
    <w:p>
      <w:pPr>
        <w:pStyle w:val="ListParagraph"/>
        <w:numPr>
          <w:ilvl w:val="0"/>
          <w:numId w:val="2"/>
        </w:numPr>
        <w:spacing w:after="80" w:line="270"/>
      </w:pPr>
      <w:r>
        <w:rPr>
          <w:rFonts w:ascii="Calibri" w:cs="Calibri" w:eastAsia="Calibri" w:hAnsi="Calibri"/>
          <w:b/>
          <w:bCs/>
        </w:rPr>
        <w:t xml:space="preserve">Rapid universal-coverage rollout:</w:t>
      </w:r>
      <w:r>
        <w:rPr>
          <w:rFonts w:ascii="Calibri" w:cs="Calibri" w:eastAsia="Calibri" w:hAnsi="Calibri"/>
        </w:rPr>
        <w:t xml:space="preserve"> the expansion of national health insurance increases claim volumes and the cost of getting claims wrong.</w:t>
      </w:r>
    </w:p>
    <w:p>
      <w:pPr>
        <w:pStyle w:val="ListParagraph"/>
        <w:numPr>
          <w:ilvl w:val="0"/>
          <w:numId w:val="2"/>
        </w:numPr>
        <w:spacing w:after="80" w:line="270"/>
      </w:pPr>
      <w:r>
        <w:rPr>
          <w:rFonts w:ascii="Calibri" w:cs="Calibri" w:eastAsia="Calibri" w:hAnsi="Calibri"/>
          <w:b/>
          <w:bCs/>
        </w:rPr>
        <w:t xml:space="preserve">Bilingual operations:</w:t>
      </w:r>
      <w:r>
        <w:rPr>
          <w:rFonts w:ascii="Calibri" w:cs="Calibri" w:eastAsia="Calibri" w:hAnsi="Calibri"/>
        </w:rPr>
        <w:t xml:space="preserve"> clinical and administrative staff work across Arabic and English; software must too.</w:t>
      </w:r>
    </w:p>
    <w:p>
      <w:pPr>
        <w:pStyle w:val="ListParagraph"/>
        <w:numPr>
          <w:ilvl w:val="0"/>
          <w:numId w:val="2"/>
        </w:numPr>
        <w:spacing w:after="80" w:line="270"/>
      </w:pPr>
      <w:r>
        <w:rPr>
          <w:rFonts w:ascii="Calibri" w:cs="Calibri" w:eastAsia="Calibri" w:hAnsi="Calibri"/>
          <w:b/>
          <w:bCs/>
        </w:rPr>
        <w:t xml:space="preserve">Data sovereignty:</w:t>
      </w:r>
      <w:r>
        <w:rPr>
          <w:rFonts w:ascii="Calibri" w:cs="Calibri" w:eastAsia="Calibri" w:hAnsi="Calibri"/>
        </w:rPr>
        <w:t xml:space="preserve"> sensitive patient data and a preference for on-premise / local AI make cloud-only tools a poor fit — Veebase supports fully local model inference.</w:t>
      </w:r>
    </w:p>
    <w:p>
      <w:pPr>
        <w:pStyle w:val="Heading1"/>
        <w:spacing w:after="160" w:before="320"/>
      </w:pPr>
      <w:r>
        <w:rPr>
          <w:rFonts w:ascii="Calibri" w:cs="Calibri" w:eastAsia="Calibri" w:hAnsi="Calibri"/>
        </w:rPr>
        <w:t xml:space="preserve">3. The Solution: An Agentic RCM Platform</w:t>
      </w:r>
    </w:p>
    <w:p>
      <w:pPr>
        <w:spacing w:after="140" w:line="276"/>
        <w:jc w:val="both"/>
      </w:pPr>
      <w:r>
        <w:rPr>
          <w:rFonts w:ascii="Calibri" w:cs="Calibri" w:eastAsia="Calibri" w:hAnsi="Calibri"/>
        </w:rPr>
        <w:t xml:space="preserve">Veebase models the revenue cycle as a coordinated team of autonomous agents, each an expert in one part of the process. A central processing engine routes every claim to the right agent for its current stage, the agent does its work and produces a structured, explainable output, and the engine recomputes the claim’s health scores and decides the next step — or pauses for a human when policy requires it.</w:t>
      </w:r>
    </w:p>
    <w:p>
      <w:pPr>
        <w:pStyle w:val="Heading2"/>
        <w:spacing w:after="120" w:before="240"/>
      </w:pPr>
      <w:r>
        <w:rPr>
          <w:rFonts w:ascii="Calibri" w:cs="Calibri" w:eastAsia="Calibri" w:hAnsi="Calibri"/>
        </w:rPr>
        <w:t xml:space="preserve">3.1 The Twelve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4960"/>
      </w:tblGrid>
      <w:tr>
        <w:trPr>
          <w:tblHeader/>
        </w:trPr>
        <w:tc>
          <w:tcPr>
            <w:tcW w:type="dxa" w:w="2900"/>
            <w:tcBorders>
              <w:top w:val="single" w:color="CBD5E1" w:sz="4"/>
              <w:left w:val="single" w:color="CBD5E1" w:sz="4"/>
              <w:bottom w:val="single" w:color="CBD5E1" w:sz="4"/>
              <w:right w:val="single" w:color="CBD5E1" w:sz="4"/>
            </w:tcBorders>
            <w:shd w:fill="1D6FB8" w:val="clear"/>
            <w:tcMar>
              <w:top w:type="dxa" w:w="60"/>
              <w:left w:type="dxa" w:w="120"/>
              <w:bottom w:type="dxa" w:w="60"/>
              <w:right w:type="dxa" w:w="120"/>
            </w:tcMar>
            <w:vAlign w:val="center"/>
          </w:tcPr>
          <w:p>
            <w:pPr>
              <w:spacing w:after="0" w:line="264"/>
              <w:jc w:val="left"/>
            </w:pPr>
            <w:r>
              <w:rPr>
                <w:rFonts w:ascii="Calibri" w:cs="Calibri" w:eastAsia="Calibri" w:hAnsi="Calibri"/>
                <w:b/>
                <w:bCs/>
                <w:color w:val="FFFFFF"/>
                <w:sz w:val="19"/>
                <w:szCs w:val="19"/>
              </w:rPr>
              <w:t xml:space="preserve">Agent</w:t>
            </w:r>
          </w:p>
        </w:tc>
        <w:tc>
          <w:tcPr>
            <w:tcW w:type="dxa" w:w="1500"/>
            <w:tcBorders>
              <w:top w:val="single" w:color="CBD5E1" w:sz="4"/>
              <w:left w:val="single" w:color="CBD5E1" w:sz="4"/>
              <w:bottom w:val="single" w:color="CBD5E1" w:sz="4"/>
              <w:right w:val="single" w:color="CBD5E1" w:sz="4"/>
            </w:tcBorders>
            <w:shd w:fill="1D6FB8" w:val="clear"/>
            <w:tcMar>
              <w:top w:type="dxa" w:w="60"/>
              <w:left w:type="dxa" w:w="120"/>
              <w:bottom w:type="dxa" w:w="60"/>
              <w:right w:type="dxa" w:w="120"/>
            </w:tcMar>
            <w:vAlign w:val="center"/>
          </w:tcPr>
          <w:p>
            <w:pPr>
              <w:spacing w:after="0" w:line="264"/>
              <w:jc w:val="left"/>
            </w:pPr>
            <w:r>
              <w:rPr>
                <w:rFonts w:ascii="Calibri" w:cs="Calibri" w:eastAsia="Calibri" w:hAnsi="Calibri"/>
                <w:b/>
                <w:bCs/>
                <w:color w:val="FFFFFF"/>
                <w:sz w:val="19"/>
                <w:szCs w:val="19"/>
              </w:rPr>
              <w:t xml:space="preserve">Category</w:t>
            </w:r>
          </w:p>
        </w:tc>
        <w:tc>
          <w:tcPr>
            <w:tcW w:type="dxa" w:w="4960"/>
            <w:tcBorders>
              <w:top w:val="single" w:color="CBD5E1" w:sz="4"/>
              <w:left w:val="single" w:color="CBD5E1" w:sz="4"/>
              <w:bottom w:val="single" w:color="CBD5E1" w:sz="4"/>
              <w:right w:val="single" w:color="CBD5E1" w:sz="4"/>
            </w:tcBorders>
            <w:shd w:fill="1D6FB8" w:val="clear"/>
            <w:tcMar>
              <w:top w:type="dxa" w:w="60"/>
              <w:left w:type="dxa" w:w="120"/>
              <w:bottom w:type="dxa" w:w="60"/>
              <w:right w:type="dxa" w:w="120"/>
            </w:tcMar>
            <w:vAlign w:val="center"/>
          </w:tcPr>
          <w:p>
            <w:pPr>
              <w:spacing w:after="0" w:line="264"/>
              <w:jc w:val="left"/>
            </w:pPr>
            <w:r>
              <w:rPr>
                <w:rFonts w:ascii="Calibri" w:cs="Calibri" w:eastAsia="Calibri" w:hAnsi="Calibri"/>
                <w:b/>
                <w:bCs/>
                <w:color w:val="FFFFFF"/>
                <w:sz w:val="19"/>
                <w:szCs w:val="19"/>
              </w:rPr>
              <w:t xml:space="preserve">Responsibility</w:t>
            </w:r>
          </w:p>
        </w:tc>
      </w:tr>
      <w:tr>
        <w:tc>
          <w:tcPr>
            <w:tcW w:type="dxa" w:w="29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Eligibility &amp; Benefits</w:t>
            </w:r>
          </w:p>
        </w:tc>
        <w:tc>
          <w:tcPr>
            <w:tcW w:type="dxa" w:w="15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Linear</w:t>
            </w:r>
          </w:p>
        </w:tc>
        <w:tc>
          <w:tcPr>
            <w:tcW w:type="dxa" w:w="49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Verifies coverage, determines copay and whether prior authorisation is required.</w:t>
            </w:r>
          </w:p>
        </w:tc>
      </w:tr>
      <w:tr>
        <w:tc>
          <w:tcPr>
            <w:tcW w:type="dxa" w:w="2900"/>
            <w:tcBorders>
              <w:top w:val="single" w:color="CBD5E1" w:sz="4"/>
              <w:left w:val="single" w:color="CBD5E1" w:sz="4"/>
              <w:bottom w:val="single" w:color="CBD5E1" w:sz="4"/>
              <w:right w:val="single" w:color="CBD5E1" w:sz="4"/>
            </w:tcBorders>
            <w:shd w:fill="F4F8FC"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Prior Authorization</w:t>
            </w:r>
          </w:p>
        </w:tc>
        <w:tc>
          <w:tcPr>
            <w:tcW w:type="dxa" w:w="1500"/>
            <w:tcBorders>
              <w:top w:val="single" w:color="CBD5E1" w:sz="4"/>
              <w:left w:val="single" w:color="CBD5E1" w:sz="4"/>
              <w:bottom w:val="single" w:color="CBD5E1" w:sz="4"/>
              <w:right w:val="single" w:color="CBD5E1" w:sz="4"/>
            </w:tcBorders>
            <w:shd w:fill="F4F8FC"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Linear</w:t>
            </w:r>
          </w:p>
        </w:tc>
        <w:tc>
          <w:tcPr>
            <w:tcW w:type="dxa" w:w="4960"/>
            <w:tcBorders>
              <w:top w:val="single" w:color="CBD5E1" w:sz="4"/>
              <w:left w:val="single" w:color="CBD5E1" w:sz="4"/>
              <w:bottom w:val="single" w:color="CBD5E1" w:sz="4"/>
              <w:right w:val="single" w:color="CBD5E1" w:sz="4"/>
            </w:tcBorders>
            <w:shd w:fill="F4F8FC"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Confirms or obtains authorisation; flags missing auth for human review.</w:t>
            </w:r>
          </w:p>
        </w:tc>
      </w:tr>
      <w:tr>
        <w:tc>
          <w:tcPr>
            <w:tcW w:type="dxa" w:w="29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Charge Capture &amp; Integrity</w:t>
            </w:r>
          </w:p>
        </w:tc>
        <w:tc>
          <w:tcPr>
            <w:tcW w:type="dxa" w:w="15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Linear</w:t>
            </w:r>
          </w:p>
        </w:tc>
        <w:tc>
          <w:tcPr>
            <w:tcW w:type="dxa" w:w="49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Reconciles charges against documentation; detects under-billing.</w:t>
            </w:r>
          </w:p>
        </w:tc>
      </w:tr>
      <w:tr>
        <w:tc>
          <w:tcPr>
            <w:tcW w:type="dxa" w:w="2900"/>
            <w:tcBorders>
              <w:top w:val="single" w:color="CBD5E1" w:sz="4"/>
              <w:left w:val="single" w:color="CBD5E1" w:sz="4"/>
              <w:bottom w:val="single" w:color="CBD5E1" w:sz="4"/>
              <w:right w:val="single" w:color="CBD5E1" w:sz="4"/>
            </w:tcBorders>
            <w:shd w:fill="F4F8FC"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Medical Coding</w:t>
            </w:r>
          </w:p>
        </w:tc>
        <w:tc>
          <w:tcPr>
            <w:tcW w:type="dxa" w:w="1500"/>
            <w:tcBorders>
              <w:top w:val="single" w:color="CBD5E1" w:sz="4"/>
              <w:left w:val="single" w:color="CBD5E1" w:sz="4"/>
              <w:bottom w:val="single" w:color="CBD5E1" w:sz="4"/>
              <w:right w:val="single" w:color="CBD5E1" w:sz="4"/>
            </w:tcBorders>
            <w:shd w:fill="F4F8FC"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Linear</w:t>
            </w:r>
          </w:p>
        </w:tc>
        <w:tc>
          <w:tcPr>
            <w:tcW w:type="dxa" w:w="4960"/>
            <w:tcBorders>
              <w:top w:val="single" w:color="CBD5E1" w:sz="4"/>
              <w:left w:val="single" w:color="CBD5E1" w:sz="4"/>
              <w:bottom w:val="single" w:color="CBD5E1" w:sz="4"/>
              <w:right w:val="single" w:color="CBD5E1" w:sz="4"/>
            </w:tcBorders>
            <w:shd w:fill="F4F8FC"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Assigns and validates ICD-10 / CPT codes; never auto-accepts low-confidence coding.</w:t>
            </w:r>
          </w:p>
        </w:tc>
      </w:tr>
      <w:tr>
        <w:tc>
          <w:tcPr>
            <w:tcW w:type="dxa" w:w="29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Claim Scrubbing &amp; Submission</w:t>
            </w:r>
          </w:p>
        </w:tc>
        <w:tc>
          <w:tcPr>
            <w:tcW w:type="dxa" w:w="15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Linear</w:t>
            </w:r>
          </w:p>
        </w:tc>
        <w:tc>
          <w:tcPr>
            <w:tcW w:type="dxa" w:w="49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Runs payer edits; submits only clean claims; sets filing deadlines.</w:t>
            </w:r>
          </w:p>
        </w:tc>
      </w:tr>
      <w:tr>
        <w:tc>
          <w:tcPr>
            <w:tcW w:type="dxa" w:w="2900"/>
            <w:tcBorders>
              <w:top w:val="single" w:color="CBD5E1" w:sz="4"/>
              <w:left w:val="single" w:color="CBD5E1" w:sz="4"/>
              <w:bottom w:val="single" w:color="CBD5E1" w:sz="4"/>
              <w:right w:val="single" w:color="CBD5E1" w:sz="4"/>
            </w:tcBorders>
            <w:shd w:fill="F4F8FC"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Denial Prediction</w:t>
            </w:r>
          </w:p>
        </w:tc>
        <w:tc>
          <w:tcPr>
            <w:tcW w:type="dxa" w:w="1500"/>
            <w:tcBorders>
              <w:top w:val="single" w:color="CBD5E1" w:sz="4"/>
              <w:left w:val="single" w:color="CBD5E1" w:sz="4"/>
              <w:bottom w:val="single" w:color="CBD5E1" w:sz="4"/>
              <w:right w:val="single" w:color="CBD5E1" w:sz="4"/>
            </w:tcBorders>
            <w:shd w:fill="F4F8FC"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Linear</w:t>
            </w:r>
          </w:p>
        </w:tc>
        <w:tc>
          <w:tcPr>
            <w:tcW w:type="dxa" w:w="4960"/>
            <w:tcBorders>
              <w:top w:val="single" w:color="CBD5E1" w:sz="4"/>
              <w:left w:val="single" w:color="CBD5E1" w:sz="4"/>
              <w:bottom w:val="single" w:color="CBD5E1" w:sz="4"/>
              <w:right w:val="single" w:color="CBD5E1" w:sz="4"/>
            </w:tcBorders>
            <w:shd w:fill="F4F8FC"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Scores denial likelihood before and during adjudication.</w:t>
            </w:r>
          </w:p>
        </w:tc>
      </w:tr>
      <w:tr>
        <w:tc>
          <w:tcPr>
            <w:tcW w:type="dxa" w:w="29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Denial Management &amp; Appeals</w:t>
            </w:r>
          </w:p>
        </w:tc>
        <w:tc>
          <w:tcPr>
            <w:tcW w:type="dxa" w:w="15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Linear</w:t>
            </w:r>
          </w:p>
        </w:tc>
        <w:tc>
          <w:tcPr>
            <w:tcW w:type="dxa" w:w="49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Builds appeal strategy or proposes write-off (with approval).</w:t>
            </w:r>
          </w:p>
        </w:tc>
      </w:tr>
      <w:tr>
        <w:tc>
          <w:tcPr>
            <w:tcW w:type="dxa" w:w="2900"/>
            <w:tcBorders>
              <w:top w:val="single" w:color="CBD5E1" w:sz="4"/>
              <w:left w:val="single" w:color="CBD5E1" w:sz="4"/>
              <w:bottom w:val="single" w:color="CBD5E1" w:sz="4"/>
              <w:right w:val="single" w:color="CBD5E1" w:sz="4"/>
            </w:tcBorders>
            <w:shd w:fill="F4F8FC"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Payment Posting &amp; Reconciliation</w:t>
            </w:r>
          </w:p>
        </w:tc>
        <w:tc>
          <w:tcPr>
            <w:tcW w:type="dxa" w:w="1500"/>
            <w:tcBorders>
              <w:top w:val="single" w:color="CBD5E1" w:sz="4"/>
              <w:left w:val="single" w:color="CBD5E1" w:sz="4"/>
              <w:bottom w:val="single" w:color="CBD5E1" w:sz="4"/>
              <w:right w:val="single" w:color="CBD5E1" w:sz="4"/>
            </w:tcBorders>
            <w:shd w:fill="F4F8FC"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Linear</w:t>
            </w:r>
          </w:p>
        </w:tc>
        <w:tc>
          <w:tcPr>
            <w:tcW w:type="dxa" w:w="4960"/>
            <w:tcBorders>
              <w:top w:val="single" w:color="CBD5E1" w:sz="4"/>
              <w:left w:val="single" w:color="CBD5E1" w:sz="4"/>
              <w:bottom w:val="single" w:color="CBD5E1" w:sz="4"/>
              <w:right w:val="single" w:color="CBD5E1" w:sz="4"/>
            </w:tcBorders>
            <w:shd w:fill="F4F8FC"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Posts payments, contractual adjustments and patient responsibility.</w:t>
            </w:r>
          </w:p>
        </w:tc>
      </w:tr>
      <w:tr>
        <w:tc>
          <w:tcPr>
            <w:tcW w:type="dxa" w:w="29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Patient Billing &amp; Collections</w:t>
            </w:r>
          </w:p>
        </w:tc>
        <w:tc>
          <w:tcPr>
            <w:tcW w:type="dxa" w:w="15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Linear</w:t>
            </w:r>
          </w:p>
        </w:tc>
        <w:tc>
          <w:tcPr>
            <w:tcW w:type="dxa" w:w="49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Generates patient statements for residual balances.</w:t>
            </w:r>
          </w:p>
        </w:tc>
      </w:tr>
      <w:tr>
        <w:tc>
          <w:tcPr>
            <w:tcW w:type="dxa" w:w="2900"/>
            <w:tcBorders>
              <w:top w:val="single" w:color="CBD5E1" w:sz="4"/>
              <w:left w:val="single" w:color="CBD5E1" w:sz="4"/>
              <w:bottom w:val="single" w:color="CBD5E1" w:sz="4"/>
              <w:right w:val="single" w:color="CBD5E1" w:sz="4"/>
            </w:tcBorders>
            <w:shd w:fill="F4F8FC"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Fraud, Waste &amp; Medical Necessity</w:t>
            </w:r>
          </w:p>
        </w:tc>
        <w:tc>
          <w:tcPr>
            <w:tcW w:type="dxa" w:w="1500"/>
            <w:tcBorders>
              <w:top w:val="single" w:color="CBD5E1" w:sz="4"/>
              <w:left w:val="single" w:color="CBD5E1" w:sz="4"/>
              <w:bottom w:val="single" w:color="CBD5E1" w:sz="4"/>
              <w:right w:val="single" w:color="CBD5E1" w:sz="4"/>
            </w:tcBorders>
            <w:shd w:fill="F4F8FC"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Sentinel</w:t>
            </w:r>
          </w:p>
        </w:tc>
        <w:tc>
          <w:tcPr>
            <w:tcW w:type="dxa" w:w="4960"/>
            <w:tcBorders>
              <w:top w:val="single" w:color="CBD5E1" w:sz="4"/>
              <w:left w:val="single" w:color="CBD5E1" w:sz="4"/>
              <w:bottom w:val="single" w:color="CBD5E1" w:sz="4"/>
              <w:right w:val="single" w:color="CBD5E1" w:sz="4"/>
            </w:tcBorders>
            <w:shd w:fill="F4F8FC"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Screens high-value / anomalous claims; escalates for review.</w:t>
            </w:r>
          </w:p>
        </w:tc>
      </w:tr>
      <w:tr>
        <w:tc>
          <w:tcPr>
            <w:tcW w:type="dxa" w:w="29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Payer Contract &amp; Rules</w:t>
            </w:r>
          </w:p>
        </w:tc>
        <w:tc>
          <w:tcPr>
            <w:tcW w:type="dxa" w:w="15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Knowledge</w:t>
            </w:r>
          </w:p>
        </w:tc>
        <w:tc>
          <w:tcPr>
            <w:tcW w:type="dxa" w:w="49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Supplies payer-specific rules: thresholds, filing windows, reimbursement.</w:t>
            </w:r>
          </w:p>
        </w:tc>
      </w:tr>
      <w:tr>
        <w:tc>
          <w:tcPr>
            <w:tcW w:type="dxa" w:w="2900"/>
            <w:tcBorders>
              <w:top w:val="single" w:color="CBD5E1" w:sz="4"/>
              <w:left w:val="single" w:color="CBD5E1" w:sz="4"/>
              <w:bottom w:val="single" w:color="CBD5E1" w:sz="4"/>
              <w:right w:val="single" w:color="CBD5E1" w:sz="4"/>
            </w:tcBorders>
            <w:shd w:fill="F4F8FC"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Analytics &amp; Reporting</w:t>
            </w:r>
          </w:p>
        </w:tc>
        <w:tc>
          <w:tcPr>
            <w:tcW w:type="dxa" w:w="1500"/>
            <w:tcBorders>
              <w:top w:val="single" w:color="CBD5E1" w:sz="4"/>
              <w:left w:val="single" w:color="CBD5E1" w:sz="4"/>
              <w:bottom w:val="single" w:color="CBD5E1" w:sz="4"/>
              <w:right w:val="single" w:color="CBD5E1" w:sz="4"/>
            </w:tcBorders>
            <w:shd w:fill="F4F8FC"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Analytics</w:t>
            </w:r>
          </w:p>
        </w:tc>
        <w:tc>
          <w:tcPr>
            <w:tcW w:type="dxa" w:w="4960"/>
            <w:tcBorders>
              <w:top w:val="single" w:color="CBD5E1" w:sz="4"/>
              <w:left w:val="single" w:color="CBD5E1" w:sz="4"/>
              <w:bottom w:val="single" w:color="CBD5E1" w:sz="4"/>
              <w:right w:val="single" w:color="CBD5E1" w:sz="4"/>
            </w:tcBorders>
            <w:shd w:fill="F4F8FC"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Surfaces KPIs, trends and root-cause narratives.</w:t>
            </w:r>
          </w:p>
        </w:tc>
      </w:tr>
    </w:tbl>
    <w:p>
      <w:pPr>
        <w:pStyle w:val="Heading2"/>
        <w:spacing w:after="120" w:before="240"/>
      </w:pPr>
      <w:r>
        <w:rPr>
          <w:rFonts w:ascii="Calibri" w:cs="Calibri" w:eastAsia="Calibri" w:hAnsi="Calibri"/>
        </w:rPr>
        <w:t xml:space="preserve">3.2 The Claim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0E7C7B" w:sz="24"/>
              <w:bottom w:val="single" w:color="CBD5E1" w:sz="4"/>
              <w:right w:val="single" w:color="CBD5E1" w:sz="4"/>
            </w:tcBorders>
            <w:shd w:fill="F4F8FC" w:val="clear"/>
            <w:tcMar>
              <w:top w:type="dxa" w:w="120"/>
              <w:left w:type="dxa" w:w="200"/>
              <w:bottom w:type="dxa" w:w="120"/>
              <w:right w:type="dxa" w:w="160"/>
            </w:tcMar>
          </w:tcPr>
          <w:p>
            <w:pPr>
              <w:spacing w:after="60"/>
            </w:pPr>
            <w:r>
              <w:rPr>
                <w:rFonts w:ascii="Calibri" w:cs="Calibri" w:eastAsia="Calibri" w:hAnsi="Calibri"/>
                <w:b/>
                <w:bCs/>
                <w:color w:val="0B1F3A"/>
              </w:rPr>
              <w:t xml:space="preserve">Lifecycle</w:t>
            </w:r>
          </w:p>
          <w:p>
            <w:pPr>
              <w:spacing w:after="40" w:line="264"/>
            </w:pPr>
            <w:r>
              <w:rPr>
                <w:rFonts w:ascii="Calibri" w:cs="Calibri" w:eastAsia="Calibri" w:hAnsi="Calibri"/>
              </w:rPr>
              <w:t xml:space="preserve">ELIGIBILITY → PRIOR_AUTH → CHARGE_CAPTURE → CODING → SCRUBBING → SUBMITTED → ADJUDICATION → REMITTANCE → PAID</w:t>
            </w:r>
          </w:p>
          <w:p>
            <w:pPr>
              <w:spacing w:after="40" w:line="264"/>
            </w:pPr>
            <w:r>
              <w:rPr>
                <w:rFonts w:ascii="Calibri" w:cs="Calibri" w:eastAsia="Calibri" w:hAnsi="Calibri"/>
              </w:rPr>
              <w:t xml:space="preserve">Branches: ADJUDICATION → DENIED → (appeal) → SUBMITTED, or DENIED → WRITTEN_OFF (with human approval).</w:t>
            </w:r>
          </w:p>
        </w:tc>
      </w:tr>
    </w:tbl>
    <w:p>
      <w:pPr>
        <w:spacing w:after="140" w:line="276"/>
        <w:jc w:val="both"/>
      </w:pPr>
      <w:r>
        <w:rPr>
          <w:rFonts w:ascii="Calibri" w:cs="Calibri" w:eastAsia="Calibri" w:hAnsi="Calibri"/>
        </w:rPr>
        <w:t xml:space="preserve">At each stage the engine recomputes a Readiness Score (0–100, how submission-ready the claim is) and a Denial Risk Score (0–100, likelihood of denial), which drive prioritisation and risk management.</w:t>
      </w:r>
    </w:p>
    <w:p>
      <w:pPr>
        <w:pStyle w:val="Heading2"/>
        <w:spacing w:after="120" w:before="240"/>
      </w:pPr>
      <w:r>
        <w:rPr>
          <w:rFonts w:ascii="Calibri" w:cs="Calibri" w:eastAsia="Calibri" w:hAnsi="Calibri"/>
        </w:rPr>
        <w:t xml:space="preserve">3.3 Human-in-the-Loop Governance</w:t>
      </w:r>
    </w:p>
    <w:p>
      <w:pPr>
        <w:spacing w:after="140" w:line="276"/>
        <w:jc w:val="both"/>
      </w:pPr>
      <w:r>
        <w:rPr>
          <w:rFonts w:ascii="Calibri" w:cs="Calibri" w:eastAsia="Calibri" w:hAnsi="Calibri"/>
        </w:rPr>
        <w:t xml:space="preserve">Autonomy without guardrails is unacceptable in healthcare finance. Every agent decision carries one of three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BD5E1" w:sz="4"/>
              <w:left w:val="single" w:color="CBD5E1" w:sz="4"/>
              <w:bottom w:val="single" w:color="CBD5E1" w:sz="4"/>
              <w:right w:val="single" w:color="CBD5E1" w:sz="4"/>
            </w:tcBorders>
            <w:shd w:fill="1D6FB8" w:val="clear"/>
            <w:tcMar>
              <w:top w:type="dxa" w:w="60"/>
              <w:left w:type="dxa" w:w="120"/>
              <w:bottom w:type="dxa" w:w="60"/>
              <w:right w:type="dxa" w:w="120"/>
            </w:tcMar>
            <w:vAlign w:val="center"/>
          </w:tcPr>
          <w:p>
            <w:pPr>
              <w:spacing w:after="0" w:line="264"/>
              <w:jc w:val="left"/>
            </w:pPr>
            <w:r>
              <w:rPr>
                <w:rFonts w:ascii="Calibri" w:cs="Calibri" w:eastAsia="Calibri" w:hAnsi="Calibri"/>
                <w:b/>
                <w:bCs/>
                <w:color w:val="FFFFFF"/>
                <w:sz w:val="19"/>
                <w:szCs w:val="19"/>
              </w:rPr>
              <w:t xml:space="preserve">Gate</w:t>
            </w:r>
          </w:p>
        </w:tc>
        <w:tc>
          <w:tcPr>
            <w:tcW w:type="dxa" w:w="7560"/>
            <w:tcBorders>
              <w:top w:val="single" w:color="CBD5E1" w:sz="4"/>
              <w:left w:val="single" w:color="CBD5E1" w:sz="4"/>
              <w:bottom w:val="single" w:color="CBD5E1" w:sz="4"/>
              <w:right w:val="single" w:color="CBD5E1" w:sz="4"/>
            </w:tcBorders>
            <w:shd w:fill="1D6FB8" w:val="clear"/>
            <w:tcMar>
              <w:top w:type="dxa" w:w="60"/>
              <w:left w:type="dxa" w:w="120"/>
              <w:bottom w:type="dxa" w:w="60"/>
              <w:right w:type="dxa" w:w="120"/>
            </w:tcMar>
            <w:vAlign w:val="center"/>
          </w:tcPr>
          <w:p>
            <w:pPr>
              <w:spacing w:after="0" w:line="264"/>
              <w:jc w:val="left"/>
            </w:pPr>
            <w:r>
              <w:rPr>
                <w:rFonts w:ascii="Calibri" w:cs="Calibri" w:eastAsia="Calibri" w:hAnsi="Calibri"/>
                <w:b/>
                <w:bCs/>
                <w:color w:val="FFFFFF"/>
                <w:sz w:val="19"/>
                <w:szCs w:val="19"/>
              </w:rPr>
              <w:t xml:space="preserve">Meaning</w:t>
            </w:r>
          </w:p>
        </w:tc>
      </w:tr>
      <w:tr>
        <w:tc>
          <w:tcPr>
            <w:tcW w:type="dxa" w:w="18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AUTO</w:t>
            </w:r>
          </w:p>
        </w:tc>
        <w:tc>
          <w:tcPr>
            <w:tcW w:type="dxa" w:w="75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The agent may proceed automatically; low-risk, high-confidence step.</w:t>
            </w:r>
          </w:p>
        </w:tc>
      </w:tr>
      <w:tr>
        <w:tc>
          <w:tcPr>
            <w:tcW w:type="dxa" w:w="1800"/>
            <w:tcBorders>
              <w:top w:val="single" w:color="CBD5E1" w:sz="4"/>
              <w:left w:val="single" w:color="CBD5E1" w:sz="4"/>
              <w:bottom w:val="single" w:color="CBD5E1" w:sz="4"/>
              <w:right w:val="single" w:color="CBD5E1" w:sz="4"/>
            </w:tcBorders>
            <w:shd w:fill="F4F8FC"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REVIEW</w:t>
            </w:r>
          </w:p>
        </w:tc>
        <w:tc>
          <w:tcPr>
            <w:tcW w:type="dxa" w:w="7560"/>
            <w:tcBorders>
              <w:top w:val="single" w:color="CBD5E1" w:sz="4"/>
              <w:left w:val="single" w:color="CBD5E1" w:sz="4"/>
              <w:bottom w:val="single" w:color="CBD5E1" w:sz="4"/>
              <w:right w:val="single" w:color="CBD5E1" w:sz="4"/>
            </w:tcBorders>
            <w:shd w:fill="F4F8FC"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A human must review before the claim advances (e.g., missing prior auth, low-confidence coding).</w:t>
            </w:r>
          </w:p>
        </w:tc>
      </w:tr>
      <w:tr>
        <w:tc>
          <w:tcPr>
            <w:tcW w:type="dxa" w:w="18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APPROVE</w:t>
            </w:r>
          </w:p>
        </w:tc>
        <w:tc>
          <w:tcPr>
            <w:tcW w:type="dxa" w:w="75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A human must explicitly approve a high-stakes action (e.g., high-value submission, write-off).</w:t>
            </w:r>
          </w:p>
        </w:tc>
      </w:tr>
    </w:tbl>
    <w:p>
      <w:pPr>
        <w:spacing w:after="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0392B" w:sz="24"/>
              <w:bottom w:val="single" w:color="CBD5E1" w:sz="4"/>
              <w:right w:val="single" w:color="CBD5E1" w:sz="4"/>
            </w:tcBorders>
            <w:shd w:fill="FDECEC" w:val="clear"/>
            <w:tcMar>
              <w:top w:type="dxa" w:w="120"/>
              <w:left w:type="dxa" w:w="200"/>
              <w:bottom w:type="dxa" w:w="120"/>
              <w:right w:type="dxa" w:w="160"/>
            </w:tcMar>
          </w:tcPr>
          <w:p>
            <w:pPr>
              <w:spacing w:after="60"/>
            </w:pPr>
            <w:r>
              <w:rPr>
                <w:rFonts w:ascii="Calibri" w:cs="Calibri" w:eastAsia="Calibri" w:hAnsi="Calibri"/>
                <w:b/>
                <w:bCs/>
                <w:color w:val="0B1F3A"/>
              </w:rPr>
              <w:t xml:space="preserve">Prohibited actions — never automated</w:t>
            </w:r>
          </w:p>
          <w:p>
            <w:pPr>
              <w:spacing w:after="40" w:line="264"/>
            </w:pPr>
            <w:r>
              <w:rPr>
                <w:rFonts w:ascii="Calibri" w:cs="Calibri" w:eastAsia="Calibri" w:hAnsi="Calibri"/>
              </w:rPr>
              <w:t xml:space="preserve">No auto-acceptance of low-confidence medical coding.</w:t>
            </w:r>
          </w:p>
          <w:p>
            <w:pPr>
              <w:spacing w:after="40" w:line="264"/>
            </w:pPr>
            <w:r>
              <w:rPr>
                <w:rFonts w:ascii="Calibri" w:cs="Calibri" w:eastAsia="Calibri" w:hAnsi="Calibri"/>
              </w:rPr>
              <w:t xml:space="preserve">No automatic write-off of recoverable claims.</w:t>
            </w:r>
          </w:p>
          <w:p>
            <w:pPr>
              <w:spacing w:after="40" w:line="264"/>
            </w:pPr>
            <w:r>
              <w:rPr>
                <w:rFonts w:ascii="Calibri" w:cs="Calibri" w:eastAsia="Calibri" w:hAnsi="Calibri"/>
              </w:rPr>
              <w:t xml:space="preserve">No submission of claims that fail scrubber edits ("dirty" claims are held).</w:t>
            </w:r>
          </w:p>
          <w:p>
            <w:pPr>
              <w:spacing w:after="40" w:line="264"/>
            </w:pPr>
            <w:r>
              <w:rPr>
                <w:rFonts w:ascii="Calibri" w:cs="Calibri" w:eastAsia="Calibri" w:hAnsi="Calibri"/>
              </w:rPr>
              <w:t xml:space="preserve">High-value and anomalous claims are always routed to the Fraud/Waste sentinel for review.</w:t>
            </w:r>
          </w:p>
        </w:tc>
      </w:tr>
    </w:tbl>
    <w:p>
      <w:pPr>
        <w:spacing w:after="140" w:line="276"/>
        <w:jc w:val="both"/>
      </w:pPr>
      <w:r>
        <w:rPr>
          <w:rFonts w:ascii="Calibri" w:cs="Calibri" w:eastAsia="Calibri" w:hAnsi="Calibri"/>
        </w:rPr>
        <w:t xml:space="preserve">Auto-processing stops at the first gate that requires a human — accelerating the routine 80% while preserving human judgement for the consequential 20%.</w:t>
      </w:r>
    </w:p>
    <w:p>
      <w:r>
        <w:br w:type="page"/>
      </w:r>
    </w:p>
    <w:p>
      <w:pPr>
        <w:pStyle w:val="Heading1"/>
        <w:spacing w:after="160" w:before="320"/>
      </w:pPr>
      <w:r>
        <w:rPr>
          <w:rFonts w:ascii="Calibri" w:cs="Calibri" w:eastAsia="Calibri" w:hAnsi="Calibri"/>
        </w:rPr>
        <w:t xml:space="preserve">4. Architecture</w:t>
      </w:r>
    </w:p>
    <w:p>
      <w:pPr>
        <w:spacing w:after="140" w:line="276"/>
        <w:jc w:val="both"/>
      </w:pPr>
      <w:r>
        <w:rPr>
          <w:rFonts w:ascii="Calibri" w:cs="Calibri" w:eastAsia="Calibri" w:hAnsi="Calibri"/>
        </w:rPr>
        <w:t xml:space="preserve">Veebase is a modern, single-deployable web application with a clean separation between presentation, API, business logic and persistence.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700"/>
        <w:gridCol w:w="4060"/>
      </w:tblGrid>
      <w:tr>
        <w:trPr>
          <w:tblHeader/>
        </w:trPr>
        <w:tc>
          <w:tcPr>
            <w:tcW w:type="dxa" w:w="1500"/>
            <w:tcBorders>
              <w:top w:val="single" w:color="CBD5E1" w:sz="4"/>
              <w:left w:val="single" w:color="CBD5E1" w:sz="4"/>
              <w:bottom w:val="single" w:color="CBD5E1" w:sz="4"/>
              <w:right w:val="single" w:color="CBD5E1" w:sz="4"/>
            </w:tcBorders>
            <w:shd w:fill="1D6FB8" w:val="clear"/>
            <w:tcMar>
              <w:top w:type="dxa" w:w="60"/>
              <w:left w:type="dxa" w:w="120"/>
              <w:bottom w:type="dxa" w:w="60"/>
              <w:right w:type="dxa" w:w="120"/>
            </w:tcMar>
            <w:vAlign w:val="center"/>
          </w:tcPr>
          <w:p>
            <w:pPr>
              <w:spacing w:after="0" w:line="264"/>
              <w:jc w:val="left"/>
            </w:pPr>
            <w:r>
              <w:rPr>
                <w:rFonts w:ascii="Calibri" w:cs="Calibri" w:eastAsia="Calibri" w:hAnsi="Calibri"/>
                <w:b/>
                <w:bCs/>
                <w:color w:val="FFFFFF"/>
                <w:sz w:val="19"/>
                <w:szCs w:val="19"/>
              </w:rPr>
              <w:t xml:space="preserve">Layer</w:t>
            </w:r>
          </w:p>
        </w:tc>
        <w:tc>
          <w:tcPr>
            <w:tcW w:type="dxa" w:w="3700"/>
            <w:tcBorders>
              <w:top w:val="single" w:color="CBD5E1" w:sz="4"/>
              <w:left w:val="single" w:color="CBD5E1" w:sz="4"/>
              <w:bottom w:val="single" w:color="CBD5E1" w:sz="4"/>
              <w:right w:val="single" w:color="CBD5E1" w:sz="4"/>
            </w:tcBorders>
            <w:shd w:fill="1D6FB8" w:val="clear"/>
            <w:tcMar>
              <w:top w:type="dxa" w:w="60"/>
              <w:left w:type="dxa" w:w="120"/>
              <w:bottom w:type="dxa" w:w="60"/>
              <w:right w:type="dxa" w:w="120"/>
            </w:tcMar>
            <w:vAlign w:val="center"/>
          </w:tcPr>
          <w:p>
            <w:pPr>
              <w:spacing w:after="0" w:line="264"/>
              <w:jc w:val="left"/>
            </w:pPr>
            <w:r>
              <w:rPr>
                <w:rFonts w:ascii="Calibri" w:cs="Calibri" w:eastAsia="Calibri" w:hAnsi="Calibri"/>
                <w:b/>
                <w:bCs/>
                <w:color w:val="FFFFFF"/>
                <w:sz w:val="19"/>
                <w:szCs w:val="19"/>
              </w:rPr>
              <w:t xml:space="preserve">Technology</w:t>
            </w:r>
          </w:p>
        </w:tc>
        <w:tc>
          <w:tcPr>
            <w:tcW w:type="dxa" w:w="4060"/>
            <w:tcBorders>
              <w:top w:val="single" w:color="CBD5E1" w:sz="4"/>
              <w:left w:val="single" w:color="CBD5E1" w:sz="4"/>
              <w:bottom w:val="single" w:color="CBD5E1" w:sz="4"/>
              <w:right w:val="single" w:color="CBD5E1" w:sz="4"/>
            </w:tcBorders>
            <w:shd w:fill="1D6FB8" w:val="clear"/>
            <w:tcMar>
              <w:top w:type="dxa" w:w="60"/>
              <w:left w:type="dxa" w:w="120"/>
              <w:bottom w:type="dxa" w:w="60"/>
              <w:right w:type="dxa" w:w="120"/>
            </w:tcMar>
            <w:vAlign w:val="center"/>
          </w:tcPr>
          <w:p>
            <w:pPr>
              <w:spacing w:after="0" w:line="264"/>
              <w:jc w:val="left"/>
            </w:pPr>
            <w:r>
              <w:rPr>
                <w:rFonts w:ascii="Calibri" w:cs="Calibri" w:eastAsia="Calibri" w:hAnsi="Calibri"/>
                <w:b/>
                <w:bCs/>
                <w:color w:val="FFFFFF"/>
                <w:sz w:val="19"/>
                <w:szCs w:val="19"/>
              </w:rPr>
              <w:t xml:space="preserve">Role</w:t>
            </w:r>
          </w:p>
        </w:tc>
      </w:tr>
      <w:tr>
        <w:tc>
          <w:tcPr>
            <w:tcW w:type="dxa" w:w="15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Presentation</w:t>
            </w:r>
          </w:p>
        </w:tc>
        <w:tc>
          <w:tcPr>
            <w:tcW w:type="dxa" w:w="37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Next.js 16 (App Router), React 19, Tailwind v4, shadcn/ui</w:t>
            </w:r>
          </w:p>
        </w:tc>
        <w:tc>
          <w:tcPr>
            <w:tcW w:type="dxa" w:w="40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Bilingual dashboard, claims, analytics, audit and chat views.</w:t>
            </w:r>
          </w:p>
        </w:tc>
      </w:tr>
      <w:tr>
        <w:tc>
          <w:tcPr>
            <w:tcW w:type="dxa" w:w="1500"/>
            <w:tcBorders>
              <w:top w:val="single" w:color="CBD5E1" w:sz="4"/>
              <w:left w:val="single" w:color="CBD5E1" w:sz="4"/>
              <w:bottom w:val="single" w:color="CBD5E1" w:sz="4"/>
              <w:right w:val="single" w:color="CBD5E1" w:sz="4"/>
            </w:tcBorders>
            <w:shd w:fill="F4F8FC"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API Gateway</w:t>
            </w:r>
          </w:p>
        </w:tc>
        <w:tc>
          <w:tcPr>
            <w:tcW w:type="dxa" w:w="3700"/>
            <w:tcBorders>
              <w:top w:val="single" w:color="CBD5E1" w:sz="4"/>
              <w:left w:val="single" w:color="CBD5E1" w:sz="4"/>
              <w:bottom w:val="single" w:color="CBD5E1" w:sz="4"/>
              <w:right w:val="single" w:color="CBD5E1" w:sz="4"/>
            </w:tcBorders>
            <w:shd w:fill="F4F8FC"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Next.js Route Handlers + Edge middleware</w:t>
            </w:r>
          </w:p>
        </w:tc>
        <w:tc>
          <w:tcPr>
            <w:tcW w:type="dxa" w:w="4060"/>
            <w:tcBorders>
              <w:top w:val="single" w:color="CBD5E1" w:sz="4"/>
              <w:left w:val="single" w:color="CBD5E1" w:sz="4"/>
              <w:bottom w:val="single" w:color="CBD5E1" w:sz="4"/>
              <w:right w:val="single" w:color="CBD5E1" w:sz="4"/>
            </w:tcBorders>
            <w:shd w:fill="F4F8FC"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Internal UI endpoints and the authenticated /api/v1 integration surface.</w:t>
            </w:r>
          </w:p>
        </w:tc>
      </w:tr>
      <w:tr>
        <w:tc>
          <w:tcPr>
            <w:tcW w:type="dxa" w:w="15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Service Layer</w:t>
            </w:r>
          </w:p>
        </w:tc>
        <w:tc>
          <w:tcPr>
            <w:tcW w:type="dxa" w:w="37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TypeScript services</w:t>
            </w:r>
          </w:p>
        </w:tc>
        <w:tc>
          <w:tcPr>
            <w:tcW w:type="dxa" w:w="40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Orchestrates engine runs, persistence, audit logging and event dispatch.</w:t>
            </w:r>
          </w:p>
        </w:tc>
      </w:tr>
      <w:tr>
        <w:tc>
          <w:tcPr>
            <w:tcW w:type="dxa" w:w="1500"/>
            <w:tcBorders>
              <w:top w:val="single" w:color="CBD5E1" w:sz="4"/>
              <w:left w:val="single" w:color="CBD5E1" w:sz="4"/>
              <w:bottom w:val="single" w:color="CBD5E1" w:sz="4"/>
              <w:right w:val="single" w:color="CBD5E1" w:sz="4"/>
            </w:tcBorders>
            <w:shd w:fill="F4F8FC"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RCM Engine</w:t>
            </w:r>
          </w:p>
        </w:tc>
        <w:tc>
          <w:tcPr>
            <w:tcW w:type="dxa" w:w="3700"/>
            <w:tcBorders>
              <w:top w:val="single" w:color="CBD5E1" w:sz="4"/>
              <w:left w:val="single" w:color="CBD5E1" w:sz="4"/>
              <w:bottom w:val="single" w:color="CBD5E1" w:sz="4"/>
              <w:right w:val="single" w:color="CBD5E1" w:sz="4"/>
            </w:tcBorders>
            <w:shd w:fill="F4F8FC"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Deterministic rules engine</w:t>
            </w:r>
          </w:p>
        </w:tc>
        <w:tc>
          <w:tcPr>
            <w:tcW w:type="dxa" w:w="4060"/>
            <w:tcBorders>
              <w:top w:val="single" w:color="CBD5E1" w:sz="4"/>
              <w:left w:val="single" w:color="CBD5E1" w:sz="4"/>
              <w:bottom w:val="single" w:color="CBD5E1" w:sz="4"/>
              <w:right w:val="single" w:color="CBD5E1" w:sz="4"/>
            </w:tcBorders>
            <w:shd w:fill="F4F8FC"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Pure, explainable claim processing, scoring and payer rules.</w:t>
            </w:r>
          </w:p>
        </w:tc>
      </w:tr>
      <w:tr>
        <w:tc>
          <w:tcPr>
            <w:tcW w:type="dxa" w:w="15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AI Layer</w:t>
            </w:r>
          </w:p>
        </w:tc>
        <w:tc>
          <w:tcPr>
            <w:tcW w:type="dxa" w:w="37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Pluggable provider router</w:t>
            </w:r>
          </w:p>
        </w:tc>
        <w:tc>
          <w:tcPr>
            <w:tcW w:type="dxa" w:w="40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LLM chat + VLM extraction over cloud or local models, with failover.</w:t>
            </w:r>
          </w:p>
        </w:tc>
      </w:tr>
      <w:tr>
        <w:tc>
          <w:tcPr>
            <w:tcW w:type="dxa" w:w="1500"/>
            <w:tcBorders>
              <w:top w:val="single" w:color="CBD5E1" w:sz="4"/>
              <w:left w:val="single" w:color="CBD5E1" w:sz="4"/>
              <w:bottom w:val="single" w:color="CBD5E1" w:sz="4"/>
              <w:right w:val="single" w:color="CBD5E1" w:sz="4"/>
            </w:tcBorders>
            <w:shd w:fill="F4F8FC"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Persistence</w:t>
            </w:r>
          </w:p>
        </w:tc>
        <w:tc>
          <w:tcPr>
            <w:tcW w:type="dxa" w:w="3700"/>
            <w:tcBorders>
              <w:top w:val="single" w:color="CBD5E1" w:sz="4"/>
              <w:left w:val="single" w:color="CBD5E1" w:sz="4"/>
              <w:bottom w:val="single" w:color="CBD5E1" w:sz="4"/>
              <w:right w:val="single" w:color="CBD5E1" w:sz="4"/>
            </w:tcBorders>
            <w:shd w:fill="F4F8FC"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Prisma ORM (SQLite default, Postgres-ready)</w:t>
            </w:r>
          </w:p>
        </w:tc>
        <w:tc>
          <w:tcPr>
            <w:tcW w:type="dxa" w:w="4060"/>
            <w:tcBorders>
              <w:top w:val="single" w:color="CBD5E1" w:sz="4"/>
              <w:left w:val="single" w:color="CBD5E1" w:sz="4"/>
              <w:bottom w:val="single" w:color="CBD5E1" w:sz="4"/>
              <w:right w:val="single" w:color="CBD5E1" w:sz="4"/>
            </w:tcBorders>
            <w:shd w:fill="F4F8FC"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Claims, agents, escalations, KPIs, audit, events, users, keys, webhooks.</w:t>
            </w:r>
          </w:p>
        </w:tc>
      </w:tr>
    </w:tbl>
    <w:p>
      <w:pPr>
        <w:spacing w:after="140" w:line="276"/>
        <w:jc w:val="both"/>
      </w:pPr>
      <w:r>
        <w:rPr>
          <w:rFonts w:ascii="Calibri" w:cs="Calibri" w:eastAsia="Calibri" w:hAnsi="Calibri"/>
        </w:rPr>
        <w:t xml:space="preserve">The engine is a pure function library: given a claim, it returns the proposed changes without side effects — deterministic, testable and fully auditable. The service layer applies those changes, writes an immutable audit entry, records the per-agent processing event, raises escalations and emits webhook events.</w:t>
      </w:r>
    </w:p>
    <w:p>
      <w:pPr>
        <w:pStyle w:val="Heading1"/>
        <w:spacing w:after="160" w:before="320"/>
      </w:pPr>
      <w:r>
        <w:rPr>
          <w:rFonts w:ascii="Calibri" w:cs="Calibri" w:eastAsia="Calibri" w:hAnsi="Calibri"/>
        </w:rPr>
        <w:t xml:space="preserve">5. Integration: In and Out of Any System</w:t>
      </w:r>
    </w:p>
    <w:p>
      <w:pPr>
        <w:pStyle w:val="Heading2"/>
        <w:spacing w:after="120" w:before="240"/>
      </w:pPr>
      <w:r>
        <w:rPr>
          <w:rFonts w:ascii="Calibri" w:cs="Calibri" w:eastAsia="Calibri" w:hAnsi="Calibri"/>
        </w:rPr>
        <w:t xml:space="preserve">5.1 Inbound</w:t>
      </w:r>
    </w:p>
    <w:p>
      <w:pPr>
        <w:pStyle w:val="ListParagraph"/>
        <w:numPr>
          <w:ilvl w:val="0"/>
          <w:numId w:val="2"/>
        </w:numPr>
        <w:spacing w:after="80" w:line="270"/>
      </w:pPr>
      <w:r>
        <w:rPr>
          <w:rFonts w:ascii="Calibri" w:cs="Calibri" w:eastAsia="Calibri" w:hAnsi="Calibri"/>
          <w:b/>
          <w:bCs/>
        </w:rPr>
        <w:t xml:space="preserve">Native REST:</w:t>
      </w:r>
      <w:r>
        <w:rPr>
          <w:rFonts w:ascii="Calibri" w:cs="Calibri" w:eastAsia="Calibri" w:hAnsi="Calibri"/>
        </w:rPr>
        <w:t xml:space="preserve"> create single claims or batches via `POST /api/v1/claims` (with idempotency-key support).</w:t>
      </w:r>
    </w:p>
    <w:p>
      <w:pPr>
        <w:pStyle w:val="ListParagraph"/>
        <w:numPr>
          <w:ilvl w:val="0"/>
          <w:numId w:val="2"/>
        </w:numPr>
        <w:spacing w:after="80" w:line="270"/>
      </w:pPr>
      <w:r>
        <w:rPr>
          <w:rFonts w:ascii="Calibri" w:cs="Calibri" w:eastAsia="Calibri" w:hAnsi="Calibri"/>
          <w:b/>
          <w:bCs/>
        </w:rPr>
        <w:t xml:space="preserve">HL7 FHIR R4:</w:t>
      </w:r>
      <w:r>
        <w:rPr>
          <w:rFonts w:ascii="Calibri" w:cs="Calibri" w:eastAsia="Calibri" w:hAnsi="Calibri"/>
        </w:rPr>
        <w:t xml:space="preserve"> submit a standards-compliant `Claim` resource; read any claim back as FHIR.</w:t>
      </w:r>
    </w:p>
    <w:p>
      <w:pPr>
        <w:pStyle w:val="ListParagraph"/>
        <w:numPr>
          <w:ilvl w:val="0"/>
          <w:numId w:val="2"/>
        </w:numPr>
        <w:spacing w:after="80" w:line="270"/>
      </w:pPr>
      <w:r>
        <w:rPr>
          <w:rFonts w:ascii="Calibri" w:cs="Calibri" w:eastAsia="Calibri" w:hAnsi="Calibri"/>
          <w:b/>
          <w:bCs/>
        </w:rPr>
        <w:t xml:space="preserve">Eligibility pre-check:</w:t>
      </w:r>
      <w:r>
        <w:rPr>
          <w:rFonts w:ascii="Calibri" w:cs="Calibri" w:eastAsia="Calibri" w:hAnsi="Calibri"/>
        </w:rPr>
        <w:t xml:space="preserve"> `POST /api/v1/eligibility` returns coverage, prior-auth requirements and a denial-risk estimate before service.</w:t>
      </w:r>
    </w:p>
    <w:p>
      <w:pPr>
        <w:pStyle w:val="ListParagraph"/>
        <w:numPr>
          <w:ilvl w:val="0"/>
          <w:numId w:val="2"/>
        </w:numPr>
        <w:spacing w:after="80" w:line="270"/>
      </w:pPr>
      <w:r>
        <w:rPr>
          <w:rFonts w:ascii="Calibri" w:cs="Calibri" w:eastAsia="Calibri" w:hAnsi="Calibri"/>
          <w:b/>
          <w:bCs/>
        </w:rPr>
        <w:t xml:space="preserve">Document ingestion:</w:t>
      </w:r>
      <w:r>
        <w:rPr>
          <w:rFonts w:ascii="Calibri" w:cs="Calibri" w:eastAsia="Calibri" w:hAnsi="Calibri"/>
        </w:rPr>
        <w:t xml:space="preserve"> the Ingestion Hub turns scanned PDF claims from multiple hospital templates into structured claims.</w:t>
      </w:r>
    </w:p>
    <w:p>
      <w:pPr>
        <w:pStyle w:val="Heading2"/>
        <w:spacing w:after="120" w:before="240"/>
      </w:pPr>
      <w:r>
        <w:rPr>
          <w:rFonts w:ascii="Calibri" w:cs="Calibri" w:eastAsia="Calibri" w:hAnsi="Calibri"/>
        </w:rPr>
        <w:t xml:space="preserve">5.2 Outbound</w:t>
      </w:r>
    </w:p>
    <w:p>
      <w:pPr>
        <w:pStyle w:val="ListParagraph"/>
        <w:numPr>
          <w:ilvl w:val="0"/>
          <w:numId w:val="2"/>
        </w:numPr>
        <w:spacing w:after="80" w:line="270"/>
      </w:pPr>
      <w:r>
        <w:rPr>
          <w:rFonts w:ascii="Calibri" w:cs="Calibri" w:eastAsia="Calibri" w:hAnsi="Calibri"/>
          <w:b/>
          <w:bCs/>
        </w:rPr>
        <w:t xml:space="preserve">Signed webhooks:</w:t>
      </w:r>
      <w:r>
        <w:rPr>
          <w:rFonts w:ascii="Calibri" w:cs="Calibri" w:eastAsia="Calibri" w:hAnsi="Calibri"/>
        </w:rPr>
        <w:t xml:space="preserve"> real-time events (claim.created, claim.status_changed, claim.denied, claim.paid, escalation.created, …) signed with HMAC-SHA256, delivered with automatic retries.</w:t>
      </w:r>
    </w:p>
    <w:p>
      <w:pPr>
        <w:pStyle w:val="ListParagraph"/>
        <w:numPr>
          <w:ilvl w:val="0"/>
          <w:numId w:val="2"/>
        </w:numPr>
        <w:spacing w:after="80" w:line="270"/>
      </w:pPr>
      <w:r>
        <w:rPr>
          <w:rFonts w:ascii="Calibri" w:cs="Calibri" w:eastAsia="Calibri" w:hAnsi="Calibri"/>
          <w:b/>
          <w:bCs/>
        </w:rPr>
        <w:t xml:space="preserve">Metrics:</w:t>
      </w:r>
      <w:r>
        <w:rPr>
          <w:rFonts w:ascii="Calibri" w:cs="Calibri" w:eastAsia="Calibri" w:hAnsi="Calibri"/>
        </w:rPr>
        <w:t xml:space="preserve"> `GET /api/metrics` exposes operational metrics as JSON or Prometheus for dashboards.</w:t>
      </w:r>
    </w:p>
    <w:p>
      <w:pPr>
        <w:pStyle w:val="Heading2"/>
        <w:spacing w:after="120" w:before="240"/>
      </w:pPr>
      <w:r>
        <w:rPr>
          <w:rFonts w:ascii="Calibri" w:cs="Calibri" w:eastAsia="Calibri" w:hAnsi="Calibri"/>
        </w:rPr>
        <w:t xml:space="preserve">5.3 Security of the integration surface</w:t>
      </w:r>
    </w:p>
    <w:p>
      <w:pPr>
        <w:spacing w:after="140" w:line="276"/>
        <w:jc w:val="both"/>
      </w:pPr>
      <w:r>
        <w:rPr>
          <w:rFonts w:ascii="Calibri" w:cs="Calibri" w:eastAsia="Calibri" w:hAnsi="Calibri"/>
        </w:rPr>
        <w:t xml:space="preserve">The /api/v1 surface is protected by API keys (scoped read/write/admin), rate limiting, and CORS controls. Server-supplied webhook URLs are validated against SSRF (private/loopback/metadata targets are blocked). The complete API is published as OpenAPI 3 and explorable through a built-in Swagger UI at /docs.</w:t>
      </w:r>
    </w:p>
    <w:p>
      <w:r>
        <w:br w:type="page"/>
      </w:r>
    </w:p>
    <w:p>
      <w:pPr>
        <w:pStyle w:val="Heading1"/>
        <w:spacing w:after="160" w:before="320"/>
      </w:pPr>
      <w:r>
        <w:rPr>
          <w:rFonts w:ascii="Calibri" w:cs="Calibri" w:eastAsia="Calibri" w:hAnsi="Calibri"/>
        </w:rPr>
        <w:t xml:space="preserve">6. A Flexible, Future-Proof AI Foundation</w:t>
      </w:r>
    </w:p>
    <w:p>
      <w:pPr>
        <w:spacing w:after="140" w:line="276"/>
        <w:jc w:val="both"/>
      </w:pPr>
      <w:r>
        <w:rPr>
          <w:rFonts w:ascii="Calibri" w:cs="Calibri" w:eastAsia="Calibri" w:hAnsi="Calibri"/>
        </w:rPr>
        <w:t xml:space="preserve">The platform’s language-model capabilities — the conversational RCM assistant and the vision-based PDF claim extractor — run on a pluggable AI layer. Organisations are never locked to a single vendor and can choose the model that fits their cost, performance, privacy and data-sovereignty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5560"/>
      </w:tblGrid>
      <w:tr>
        <w:trPr>
          <w:tblHeader/>
        </w:trPr>
        <w:tc>
          <w:tcPr>
            <w:tcW w:type="dxa" w:w="2300"/>
            <w:tcBorders>
              <w:top w:val="single" w:color="CBD5E1" w:sz="4"/>
              <w:left w:val="single" w:color="CBD5E1" w:sz="4"/>
              <w:bottom w:val="single" w:color="CBD5E1" w:sz="4"/>
              <w:right w:val="single" w:color="CBD5E1" w:sz="4"/>
            </w:tcBorders>
            <w:shd w:fill="1D6FB8" w:val="clear"/>
            <w:tcMar>
              <w:top w:type="dxa" w:w="60"/>
              <w:left w:type="dxa" w:w="120"/>
              <w:bottom w:type="dxa" w:w="60"/>
              <w:right w:type="dxa" w:w="120"/>
            </w:tcMar>
            <w:vAlign w:val="center"/>
          </w:tcPr>
          <w:p>
            <w:pPr>
              <w:spacing w:after="0" w:line="264"/>
              <w:jc w:val="left"/>
            </w:pPr>
            <w:r>
              <w:rPr>
                <w:rFonts w:ascii="Calibri" w:cs="Calibri" w:eastAsia="Calibri" w:hAnsi="Calibri"/>
                <w:b/>
                <w:bCs/>
                <w:color w:val="FFFFFF"/>
                <w:sz w:val="19"/>
                <w:szCs w:val="19"/>
              </w:rPr>
              <w:t xml:space="preserve">Provider</w:t>
            </w:r>
          </w:p>
        </w:tc>
        <w:tc>
          <w:tcPr>
            <w:tcW w:type="dxa" w:w="1500"/>
            <w:tcBorders>
              <w:top w:val="single" w:color="CBD5E1" w:sz="4"/>
              <w:left w:val="single" w:color="CBD5E1" w:sz="4"/>
              <w:bottom w:val="single" w:color="CBD5E1" w:sz="4"/>
              <w:right w:val="single" w:color="CBD5E1" w:sz="4"/>
            </w:tcBorders>
            <w:shd w:fill="1D6FB8" w:val="clear"/>
            <w:tcMar>
              <w:top w:type="dxa" w:w="60"/>
              <w:left w:type="dxa" w:w="120"/>
              <w:bottom w:type="dxa" w:w="60"/>
              <w:right w:type="dxa" w:w="120"/>
            </w:tcMar>
            <w:vAlign w:val="center"/>
          </w:tcPr>
          <w:p>
            <w:pPr>
              <w:spacing w:after="0" w:line="264"/>
              <w:jc w:val="left"/>
            </w:pPr>
            <w:r>
              <w:rPr>
                <w:rFonts w:ascii="Calibri" w:cs="Calibri" w:eastAsia="Calibri" w:hAnsi="Calibri"/>
                <w:b/>
                <w:bCs/>
                <w:color w:val="FFFFFF"/>
                <w:sz w:val="19"/>
                <w:szCs w:val="19"/>
              </w:rPr>
              <w:t xml:space="preserve">Use</w:t>
            </w:r>
          </w:p>
        </w:tc>
        <w:tc>
          <w:tcPr>
            <w:tcW w:type="dxa" w:w="5560"/>
            <w:tcBorders>
              <w:top w:val="single" w:color="CBD5E1" w:sz="4"/>
              <w:left w:val="single" w:color="CBD5E1" w:sz="4"/>
              <w:bottom w:val="single" w:color="CBD5E1" w:sz="4"/>
              <w:right w:val="single" w:color="CBD5E1" w:sz="4"/>
            </w:tcBorders>
            <w:shd w:fill="1D6FB8" w:val="clear"/>
            <w:tcMar>
              <w:top w:type="dxa" w:w="60"/>
              <w:left w:type="dxa" w:w="120"/>
              <w:bottom w:type="dxa" w:w="60"/>
              <w:right w:type="dxa" w:w="120"/>
            </w:tcMar>
            <w:vAlign w:val="center"/>
          </w:tcPr>
          <w:p>
            <w:pPr>
              <w:spacing w:after="0" w:line="264"/>
              <w:jc w:val="left"/>
            </w:pPr>
            <w:r>
              <w:rPr>
                <w:rFonts w:ascii="Calibri" w:cs="Calibri" w:eastAsia="Calibri" w:hAnsi="Calibri"/>
                <w:b/>
                <w:bCs/>
                <w:color w:val="FFFFFF"/>
                <w:sz w:val="19"/>
                <w:szCs w:val="19"/>
              </w:rPr>
              <w:t xml:space="preserve">Notes</w:t>
            </w:r>
          </w:p>
        </w:tc>
      </w:tr>
      <w:tr>
        <w:tc>
          <w:tcPr>
            <w:tcW w:type="dxa" w:w="23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Z.ai (bundled)</w:t>
            </w:r>
          </w:p>
        </w:tc>
        <w:tc>
          <w:tcPr>
            <w:tcW w:type="dxa" w:w="15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Default</w:t>
            </w:r>
          </w:p>
        </w:tc>
        <w:tc>
          <w:tcPr>
            <w:tcW w:type="dxa" w:w="55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Zero-configuration; works out of the box.</w:t>
            </w:r>
          </w:p>
        </w:tc>
      </w:tr>
      <w:tr>
        <w:tc>
          <w:tcPr>
            <w:tcW w:type="dxa" w:w="2300"/>
            <w:tcBorders>
              <w:top w:val="single" w:color="CBD5E1" w:sz="4"/>
              <w:left w:val="single" w:color="CBD5E1" w:sz="4"/>
              <w:bottom w:val="single" w:color="CBD5E1" w:sz="4"/>
              <w:right w:val="single" w:color="CBD5E1" w:sz="4"/>
            </w:tcBorders>
            <w:shd w:fill="F4F8FC"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OpenAI-compatible</w:t>
            </w:r>
          </w:p>
        </w:tc>
        <w:tc>
          <w:tcPr>
            <w:tcW w:type="dxa" w:w="1500"/>
            <w:tcBorders>
              <w:top w:val="single" w:color="CBD5E1" w:sz="4"/>
              <w:left w:val="single" w:color="CBD5E1" w:sz="4"/>
              <w:bottom w:val="single" w:color="CBD5E1" w:sz="4"/>
              <w:right w:val="single" w:color="CBD5E1" w:sz="4"/>
            </w:tcBorders>
            <w:shd w:fill="F4F8FC"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Cloud</w:t>
            </w:r>
          </w:p>
        </w:tc>
        <w:tc>
          <w:tcPr>
            <w:tcW w:type="dxa" w:w="5560"/>
            <w:tcBorders>
              <w:top w:val="single" w:color="CBD5E1" w:sz="4"/>
              <w:left w:val="single" w:color="CBD5E1" w:sz="4"/>
              <w:bottom w:val="single" w:color="CBD5E1" w:sz="4"/>
              <w:right w:val="single" w:color="CBD5E1" w:sz="4"/>
            </w:tcBorders>
            <w:shd w:fill="F4F8FC"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OpenAI, Groq, Together, OpenRouter, vLLM, LM Studio — any compatible endpoint.</w:t>
            </w:r>
          </w:p>
        </w:tc>
      </w:tr>
      <w:tr>
        <w:tc>
          <w:tcPr>
            <w:tcW w:type="dxa" w:w="23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Anthropic Claude</w:t>
            </w:r>
          </w:p>
        </w:tc>
        <w:tc>
          <w:tcPr>
            <w:tcW w:type="dxa" w:w="15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Cloud</w:t>
            </w:r>
          </w:p>
        </w:tc>
        <w:tc>
          <w:tcPr>
            <w:tcW w:type="dxa" w:w="55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Claude models via the Messages API.</w:t>
            </w:r>
          </w:p>
        </w:tc>
      </w:tr>
      <w:tr>
        <w:tc>
          <w:tcPr>
            <w:tcW w:type="dxa" w:w="2300"/>
            <w:tcBorders>
              <w:top w:val="single" w:color="CBD5E1" w:sz="4"/>
              <w:left w:val="single" w:color="CBD5E1" w:sz="4"/>
              <w:bottom w:val="single" w:color="CBD5E1" w:sz="4"/>
              <w:right w:val="single" w:color="CBD5E1" w:sz="4"/>
            </w:tcBorders>
            <w:shd w:fill="F4F8FC"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Local (Ollama)</w:t>
            </w:r>
          </w:p>
        </w:tc>
        <w:tc>
          <w:tcPr>
            <w:tcW w:type="dxa" w:w="1500"/>
            <w:tcBorders>
              <w:top w:val="single" w:color="CBD5E1" w:sz="4"/>
              <w:left w:val="single" w:color="CBD5E1" w:sz="4"/>
              <w:bottom w:val="single" w:color="CBD5E1" w:sz="4"/>
              <w:right w:val="single" w:color="CBD5E1" w:sz="4"/>
            </w:tcBorders>
            <w:shd w:fill="F4F8FC"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On-premise</w:t>
            </w:r>
          </w:p>
        </w:tc>
        <w:tc>
          <w:tcPr>
            <w:tcW w:type="dxa" w:w="5560"/>
            <w:tcBorders>
              <w:top w:val="single" w:color="CBD5E1" w:sz="4"/>
              <w:left w:val="single" w:color="CBD5E1" w:sz="4"/>
              <w:bottom w:val="single" w:color="CBD5E1" w:sz="4"/>
              <w:right w:val="single" w:color="CBD5E1" w:sz="4"/>
            </w:tcBorders>
            <w:shd w:fill="F4F8FC"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Run models entirely on your own hardware — no data leaves the building.</w:t>
            </w:r>
          </w:p>
        </w:tc>
      </w:tr>
    </w:tbl>
    <w:p>
      <w:pPr>
        <w:spacing w:after="40"/>
      </w:pPr>
      <w:r>
        <w:rPr>
          <w:rFonts w:ascii="Calibri" w:cs="Calibri" w:eastAsia="Calibri" w:hAnsi="Calibri"/>
        </w:rPr>
        <w:t xml:space="preserve"/>
      </w:r>
    </w:p>
    <w:p>
      <w:pPr>
        <w:pStyle w:val="ListParagraph"/>
        <w:numPr>
          <w:ilvl w:val="0"/>
          <w:numId w:val="2"/>
        </w:numPr>
        <w:spacing w:after="80" w:line="270"/>
      </w:pPr>
      <w:r>
        <w:rPr>
          <w:rFonts w:ascii="Calibri" w:cs="Calibri" w:eastAsia="Calibri" w:hAnsi="Calibri"/>
          <w:b/>
          <w:bCs/>
        </w:rPr>
        <w:t xml:space="preserve">Automatic failover:</w:t>
      </w:r>
      <w:r>
        <w:rPr>
          <w:rFonts w:ascii="Calibri" w:cs="Calibri" w:eastAsia="Calibri" w:hAnsi="Calibri"/>
        </w:rPr>
        <w:t xml:space="preserve"> if the active provider is unavailable, the platform tries the configured backup providers, and finally a deterministic knowledge base — so the assistant always responds.</w:t>
      </w:r>
    </w:p>
    <w:p>
      <w:pPr>
        <w:pStyle w:val="ListParagraph"/>
        <w:numPr>
          <w:ilvl w:val="0"/>
          <w:numId w:val="2"/>
        </w:numPr>
        <w:spacing w:after="80" w:line="270"/>
      </w:pPr>
      <w:r>
        <w:rPr>
          <w:rFonts w:ascii="Calibri" w:cs="Calibri" w:eastAsia="Calibri" w:hAnsi="Calibri"/>
          <w:b/>
          <w:bCs/>
        </w:rPr>
        <w:t xml:space="preserve">Runtime switching:</w:t>
      </w:r>
      <w:r>
        <w:rPr>
          <w:rFonts w:ascii="Calibri" w:cs="Calibri" w:eastAsia="Calibri" w:hAnsi="Calibri"/>
        </w:rPr>
        <w:t xml:space="preserve"> administrators switch the active provider from Settings → AI Models, or via API, with no redeploy.</w:t>
      </w:r>
    </w:p>
    <w:p>
      <w:pPr>
        <w:pStyle w:val="ListParagraph"/>
        <w:numPr>
          <w:ilvl w:val="0"/>
          <w:numId w:val="2"/>
        </w:numPr>
        <w:spacing w:after="80" w:line="270"/>
      </w:pPr>
      <w:r>
        <w:rPr>
          <w:rFonts w:ascii="Calibri" w:cs="Calibri" w:eastAsia="Calibri" w:hAnsi="Calibri"/>
          <w:b/>
          <w:bCs/>
        </w:rPr>
        <w:t xml:space="preserve">Privacy by choice:</w:t>
      </w:r>
      <w:r>
        <w:rPr>
          <w:rFonts w:ascii="Calibri" w:cs="Calibri" w:eastAsia="Calibri" w:hAnsi="Calibri"/>
        </w:rPr>
        <w:t xml:space="preserve"> selecting the local provider keeps all prompts and patient documents on-premise — important for PHI and data-sovereignty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0E7C7B" w:sz="24"/>
              <w:bottom w:val="single" w:color="CBD5E1" w:sz="4"/>
              <w:right w:val="single" w:color="CBD5E1" w:sz="4"/>
            </w:tcBorders>
            <w:shd w:fill="F4F8FC" w:val="clear"/>
            <w:tcMar>
              <w:top w:type="dxa" w:w="120"/>
              <w:left w:type="dxa" w:w="200"/>
              <w:bottom w:type="dxa" w:w="120"/>
              <w:right w:type="dxa" w:w="160"/>
            </w:tcMar>
          </w:tcPr>
          <w:p>
            <w:pPr>
              <w:spacing w:after="60"/>
            </w:pPr>
            <w:r>
              <w:rPr>
                <w:rFonts w:ascii="Calibri" w:cs="Calibri" w:eastAsia="Calibri" w:hAnsi="Calibri"/>
                <w:b/>
                <w:bCs/>
                <w:color w:val="0B1F3A"/>
              </w:rPr>
              <w:t xml:space="preserve">Why this matters</w:t>
            </w:r>
          </w:p>
          <w:p>
            <w:pPr>
              <w:spacing w:after="40" w:line="264"/>
            </w:pPr>
            <w:r>
              <w:rPr>
                <w:rFonts w:ascii="Calibri" w:cs="Calibri" w:eastAsia="Calibri" w:hAnsi="Calibri"/>
              </w:rPr>
              <w:t xml:space="preserve">AI model quality, pricing and availability change constantly. A pluggable foundation means Veebase improves as the ecosystem improves — and can run fully offline when regulation demands it — without re-engineering the product.</w:t>
            </w:r>
          </w:p>
        </w:tc>
      </w:tr>
    </w:tbl>
    <w:p>
      <w:pPr>
        <w:pStyle w:val="Heading1"/>
        <w:spacing w:after="160" w:before="320"/>
      </w:pPr>
      <w:r>
        <w:rPr>
          <w:rFonts w:ascii="Calibri" w:cs="Calibri" w:eastAsia="Calibri" w:hAnsi="Calibri"/>
        </w:rPr>
        <w:t xml:space="preserve">7. Security, Access Control &amp; Compliance</w:t>
      </w:r>
    </w:p>
    <w:p>
      <w:pPr>
        <w:spacing w:after="140" w:line="276"/>
        <w:jc w:val="both"/>
      </w:pPr>
      <w:r>
        <w:rPr>
          <w:rFonts w:ascii="Calibri" w:cs="Calibri" w:eastAsia="Calibri" w:hAnsi="Calibri"/>
        </w:rPr>
        <w:t xml:space="preserve">Veebase is built for regulated healthcare environments, with controls that protect sensitive data and enforce who can do what.</w:t>
      </w:r>
    </w:p>
    <w:p>
      <w:pPr>
        <w:pStyle w:val="Heading2"/>
        <w:spacing w:after="120" w:before="240"/>
      </w:pPr>
      <w:r>
        <w:rPr>
          <w:rFonts w:ascii="Calibri" w:cs="Calibri" w:eastAsia="Calibri" w:hAnsi="Calibri"/>
        </w:rPr>
        <w:t xml:space="preserve">7.1 Role-Based Access Control (RBAC)</w:t>
      </w:r>
    </w:p>
    <w:p>
      <w:pPr>
        <w:spacing w:after="140" w:line="276"/>
        <w:jc w:val="both"/>
      </w:pPr>
      <w:r>
        <w:rPr>
          <w:rFonts w:ascii="Calibri" w:cs="Calibri" w:eastAsia="Calibri" w:hAnsi="Calibri"/>
        </w:rPr>
        <w:t xml:space="preserve">Five roles map to a capability matrix; the user interface and the API both enforce capabilities, so users only see and do what their role permits.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CBD5E1" w:sz="4"/>
              <w:left w:val="single" w:color="CBD5E1" w:sz="4"/>
              <w:bottom w:val="single" w:color="CBD5E1" w:sz="4"/>
              <w:right w:val="single" w:color="CBD5E1" w:sz="4"/>
            </w:tcBorders>
            <w:shd w:fill="1D6FB8" w:val="clear"/>
            <w:tcMar>
              <w:top w:type="dxa" w:w="60"/>
              <w:left w:type="dxa" w:w="120"/>
              <w:bottom w:type="dxa" w:w="60"/>
              <w:right w:type="dxa" w:w="120"/>
            </w:tcMar>
            <w:vAlign w:val="center"/>
          </w:tcPr>
          <w:p>
            <w:pPr>
              <w:spacing w:after="0" w:line="264"/>
              <w:jc w:val="left"/>
            </w:pPr>
            <w:r>
              <w:rPr>
                <w:rFonts w:ascii="Calibri" w:cs="Calibri" w:eastAsia="Calibri" w:hAnsi="Calibri"/>
                <w:b/>
                <w:bCs/>
                <w:color w:val="FFFFFF"/>
                <w:sz w:val="19"/>
                <w:szCs w:val="19"/>
              </w:rPr>
              <w:t xml:space="preserve">Role</w:t>
            </w:r>
          </w:p>
        </w:tc>
        <w:tc>
          <w:tcPr>
            <w:tcW w:type="dxa" w:w="7460"/>
            <w:tcBorders>
              <w:top w:val="single" w:color="CBD5E1" w:sz="4"/>
              <w:left w:val="single" w:color="CBD5E1" w:sz="4"/>
              <w:bottom w:val="single" w:color="CBD5E1" w:sz="4"/>
              <w:right w:val="single" w:color="CBD5E1" w:sz="4"/>
            </w:tcBorders>
            <w:shd w:fill="1D6FB8" w:val="clear"/>
            <w:tcMar>
              <w:top w:type="dxa" w:w="60"/>
              <w:left w:type="dxa" w:w="120"/>
              <w:bottom w:type="dxa" w:w="60"/>
              <w:right w:type="dxa" w:w="120"/>
            </w:tcMar>
            <w:vAlign w:val="center"/>
          </w:tcPr>
          <w:p>
            <w:pPr>
              <w:spacing w:after="0" w:line="264"/>
              <w:jc w:val="left"/>
            </w:pPr>
            <w:r>
              <w:rPr>
                <w:rFonts w:ascii="Calibri" w:cs="Calibri" w:eastAsia="Calibri" w:hAnsi="Calibri"/>
                <w:b/>
                <w:bCs/>
                <w:color w:val="FFFFFF"/>
                <w:sz w:val="19"/>
                <w:szCs w:val="19"/>
              </w:rPr>
              <w:t xml:space="preserve">Representative capabilities</w:t>
            </w:r>
          </w:p>
        </w:tc>
      </w:tr>
      <w:tr>
        <w:tc>
          <w:tcPr>
            <w:tcW w:type="dxa" w:w="19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Admin</w:t>
            </w:r>
          </w:p>
        </w:tc>
        <w:tc>
          <w:tcPr>
            <w:tcW w:type="dxa" w:w="74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Full control — incl. user management, API keys, AI configuration, write-offs.</w:t>
            </w:r>
          </w:p>
        </w:tc>
      </w:tr>
      <w:tr>
        <w:tc>
          <w:tcPr>
            <w:tcW w:type="dxa" w:w="1900"/>
            <w:tcBorders>
              <w:top w:val="single" w:color="CBD5E1" w:sz="4"/>
              <w:left w:val="single" w:color="CBD5E1" w:sz="4"/>
              <w:bottom w:val="single" w:color="CBD5E1" w:sz="4"/>
              <w:right w:val="single" w:color="CBD5E1" w:sz="4"/>
            </w:tcBorders>
            <w:shd w:fill="F4F8FC"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RCM Manager</w:t>
            </w:r>
          </w:p>
        </w:tc>
        <w:tc>
          <w:tcPr>
            <w:tcW w:type="dxa" w:w="7460"/>
            <w:tcBorders>
              <w:top w:val="single" w:color="CBD5E1" w:sz="4"/>
              <w:left w:val="single" w:color="CBD5E1" w:sz="4"/>
              <w:bottom w:val="single" w:color="CBD5E1" w:sz="4"/>
              <w:right w:val="single" w:color="CBD5E1" w:sz="4"/>
            </w:tcBorders>
            <w:shd w:fill="F4F8FC"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Process claims, approve write-offs, resolve high-severity escalations, manage AI/webhooks.</w:t>
            </w:r>
          </w:p>
        </w:tc>
      </w:tr>
      <w:tr>
        <w:tc>
          <w:tcPr>
            <w:tcW w:type="dxa" w:w="19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Biller</w:t>
            </w:r>
          </w:p>
        </w:tc>
        <w:tc>
          <w:tcPr>
            <w:tcW w:type="dxa" w:w="74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Create and process claims; acknowledge/resolve standard escalations.</w:t>
            </w:r>
          </w:p>
        </w:tc>
      </w:tr>
      <w:tr>
        <w:tc>
          <w:tcPr>
            <w:tcW w:type="dxa" w:w="1900"/>
            <w:tcBorders>
              <w:top w:val="single" w:color="CBD5E1" w:sz="4"/>
              <w:left w:val="single" w:color="CBD5E1" w:sz="4"/>
              <w:bottom w:val="single" w:color="CBD5E1" w:sz="4"/>
              <w:right w:val="single" w:color="CBD5E1" w:sz="4"/>
            </w:tcBorders>
            <w:shd w:fill="F4F8FC"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Compliance</w:t>
            </w:r>
          </w:p>
        </w:tc>
        <w:tc>
          <w:tcPr>
            <w:tcW w:type="dxa" w:w="7460"/>
            <w:tcBorders>
              <w:top w:val="single" w:color="CBD5E1" w:sz="4"/>
              <w:left w:val="single" w:color="CBD5E1" w:sz="4"/>
              <w:bottom w:val="single" w:color="CBD5E1" w:sz="4"/>
              <w:right w:val="single" w:color="CBD5E1" w:sz="4"/>
            </w:tcBorders>
            <w:shd w:fill="F4F8FC"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View the audit trail; resolve high-severity escalations.</w:t>
            </w:r>
          </w:p>
        </w:tc>
      </w:tr>
      <w:tr>
        <w:tc>
          <w:tcPr>
            <w:tcW w:type="dxa" w:w="19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Viewer</w:t>
            </w:r>
          </w:p>
        </w:tc>
        <w:tc>
          <w:tcPr>
            <w:tcW w:type="dxa" w:w="74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Read-only access to claims.</w:t>
            </w:r>
          </w:p>
        </w:tc>
      </w:tr>
    </w:tbl>
    <w:p>
      <w:pPr>
        <w:pStyle w:val="Heading2"/>
        <w:spacing w:after="120" w:before="240"/>
      </w:pPr>
      <w:r>
        <w:rPr>
          <w:rFonts w:ascii="Calibri" w:cs="Calibri" w:eastAsia="Calibri" w:hAnsi="Calibri"/>
        </w:rPr>
        <w:t xml:space="preserve">7.2 Data protection</w:t>
      </w:r>
    </w:p>
    <w:p>
      <w:pPr>
        <w:pStyle w:val="ListParagraph"/>
        <w:numPr>
          <w:ilvl w:val="0"/>
          <w:numId w:val="2"/>
        </w:numPr>
        <w:spacing w:after="80" w:line="270"/>
      </w:pPr>
      <w:r>
        <w:rPr>
          <w:rFonts w:ascii="Calibri" w:cs="Calibri" w:eastAsia="Calibri" w:hAnsi="Calibri"/>
          <w:b/>
          <w:bCs/>
        </w:rPr>
        <w:t xml:space="preserve">Encryption at rest:</w:t>
      </w:r>
      <w:r>
        <w:rPr>
          <w:rFonts w:ascii="Calibri" w:cs="Calibri" w:eastAsia="Calibri" w:hAnsi="Calibri"/>
        </w:rPr>
        <w:t xml:space="preserve"> sensitive fields (e.g. national IDs) are AES-256-GCM encrypted in the database; decryption fails closed.</w:t>
      </w:r>
    </w:p>
    <w:p>
      <w:pPr>
        <w:pStyle w:val="ListParagraph"/>
        <w:numPr>
          <w:ilvl w:val="0"/>
          <w:numId w:val="2"/>
        </w:numPr>
        <w:spacing w:after="80" w:line="270"/>
      </w:pPr>
      <w:r>
        <w:rPr>
          <w:rFonts w:ascii="Calibri" w:cs="Calibri" w:eastAsia="Calibri" w:hAnsi="Calibri"/>
          <w:b/>
          <w:bCs/>
        </w:rPr>
        <w:t xml:space="preserve">Secure authentication:</w:t>
      </w:r>
      <w:r>
        <w:rPr>
          <w:rFonts w:ascii="Calibri" w:cs="Calibri" w:eastAsia="Calibri" w:hAnsi="Calibri"/>
        </w:rPr>
        <w:t xml:space="preserve"> scrypt-hashed passwords, signed HttpOnly session cookies, constant-time credential checks.</w:t>
      </w:r>
    </w:p>
    <w:p>
      <w:pPr>
        <w:pStyle w:val="ListParagraph"/>
        <w:numPr>
          <w:ilvl w:val="0"/>
          <w:numId w:val="2"/>
        </w:numPr>
        <w:spacing w:after="80" w:line="270"/>
      </w:pPr>
      <w:r>
        <w:rPr>
          <w:rFonts w:ascii="Calibri" w:cs="Calibri" w:eastAsia="Calibri" w:hAnsi="Calibri"/>
          <w:b/>
          <w:bCs/>
        </w:rPr>
        <w:t xml:space="preserve">Immutable audit trail:</w:t>
      </w:r>
      <w:r>
        <w:rPr>
          <w:rFonts w:ascii="Calibri" w:cs="Calibri" w:eastAsia="Calibri" w:hAnsi="Calibri"/>
        </w:rPr>
        <w:t xml:space="preserve"> every state change, override and approval is recorded with actor, role and timestamp — and exportable for audit.</w:t>
      </w:r>
    </w:p>
    <w:p>
      <w:pPr>
        <w:pStyle w:val="Heading2"/>
        <w:spacing w:after="120" w:before="240"/>
      </w:pPr>
      <w:r>
        <w:rPr>
          <w:rFonts w:ascii="Calibri" w:cs="Calibri" w:eastAsia="Calibri" w:hAnsi="Calibri"/>
        </w:rPr>
        <w:t xml:space="preserve">7.3 Hardening</w:t>
      </w:r>
    </w:p>
    <w:p>
      <w:pPr>
        <w:pStyle w:val="ListParagraph"/>
        <w:numPr>
          <w:ilvl w:val="0"/>
          <w:numId w:val="2"/>
        </w:numPr>
        <w:spacing w:after="80" w:line="270"/>
      </w:pPr>
      <w:r>
        <w:rPr>
          <w:rFonts w:ascii="Calibri" w:cs="Calibri" w:eastAsia="Calibri" w:hAnsi="Calibri"/>
          <w:b/>
          <w:bCs/>
        </w:rPr>
        <w:t xml:space="preserve">Fail-closed by default in production</w:t>
      </w:r>
      <w:r>
        <w:rPr>
          <w:rFonts w:ascii="Calibri" w:cs="Calibri" w:eastAsia="Calibri" w:hAnsi="Calibri"/>
        </w:rPr>
        <w:t xml:space="preserve">, scoped API keys, per-credential rate limiting, and SSRF protection on outbound webhooks.</w:t>
      </w:r>
    </w:p>
    <w:p>
      <w:pPr>
        <w:pStyle w:val="ListParagraph"/>
        <w:numPr>
          <w:ilvl w:val="0"/>
          <w:numId w:val="2"/>
        </w:numPr>
        <w:spacing w:after="80" w:line="270"/>
      </w:pPr>
      <w:r>
        <w:rPr>
          <w:rFonts w:ascii="Calibri" w:cs="Calibri" w:eastAsia="Calibri" w:hAnsi="Calibri"/>
          <w:b/>
          <w:bCs/>
        </w:rPr>
        <w:t xml:space="preserve">Verified by an adversarial security review</w:t>
      </w:r>
      <w:r>
        <w:rPr>
          <w:rFonts w:ascii="Calibri" w:cs="Calibri" w:eastAsia="Calibri" w:hAnsi="Calibri"/>
        </w:rPr>
        <w:t xml:space="preserve"> and an automated test suite covering the engine, validation, sessions, RBAC and cryptography.</w:t>
      </w:r>
    </w:p>
    <w:p>
      <w:r>
        <w:br w:type="page"/>
      </w:r>
    </w:p>
    <w:p>
      <w:pPr>
        <w:pStyle w:val="Heading1"/>
        <w:spacing w:after="160" w:before="320"/>
      </w:pPr>
      <w:r>
        <w:rPr>
          <w:rFonts w:ascii="Calibri" w:cs="Calibri" w:eastAsia="Calibri" w:hAnsi="Calibri"/>
        </w:rPr>
        <w:t xml:space="preserve">8. Use Cases</w:t>
      </w:r>
    </w:p>
    <w:p>
      <w:pPr>
        <w:pStyle w:val="Heading3"/>
        <w:spacing w:after="100" w:before="180"/>
      </w:pPr>
      <w:r>
        <w:rPr>
          <w:rFonts w:ascii="Calibri" w:cs="Calibri" w:eastAsia="Calibri" w:hAnsi="Calibri"/>
        </w:rPr>
        <w:t xml:space="preserve">8.1 Hospital billing department — autonomous first-pass processing</w:t>
      </w:r>
    </w:p>
    <w:p>
      <w:pPr>
        <w:spacing w:after="140" w:line="276"/>
        <w:jc w:val="both"/>
      </w:pPr>
      <w:r>
        <w:rPr>
          <w:rFonts w:ascii="Calibri" w:cs="Calibri" w:eastAsia="Calibri" w:hAnsi="Calibri"/>
        </w:rPr>
        <w:t xml:space="preserve">A tertiary hospital routes all encounters into Veebase. Clean, low-risk claims are submitted automatically; claims missing authorisation or with low-confidence coding pause at a review gate on the billing team’s worklist. Staff focus only on exceptions, first-pass clean-claim rates rise, and AR days fall.</w:t>
      </w:r>
    </w:p>
    <w:p>
      <w:pPr>
        <w:pStyle w:val="Heading3"/>
        <w:spacing w:after="100" w:before="180"/>
      </w:pPr>
      <w:r>
        <w:rPr>
          <w:rFonts w:ascii="Calibri" w:cs="Calibri" w:eastAsia="Calibri" w:hAnsi="Calibri"/>
        </w:rPr>
        <w:t xml:space="preserve">8.2 Insurer / TPA integration via FHIR</w:t>
      </w:r>
    </w:p>
    <w:p>
      <w:pPr>
        <w:spacing w:after="140" w:line="276"/>
        <w:jc w:val="both"/>
      </w:pPr>
      <w:r>
        <w:rPr>
          <w:rFonts w:ascii="Calibri" w:cs="Calibri" w:eastAsia="Calibri" w:hAnsi="Calibri"/>
        </w:rPr>
        <w:t xml:space="preserve">A hospital information system submits FHIR `Claim` resources directly; Veebase scores them and pushes status updates back via signed webhooks — no custom file formats, no nightly batch reconciliation.</w:t>
      </w:r>
    </w:p>
    <w:p>
      <w:pPr>
        <w:pStyle w:val="Heading3"/>
        <w:spacing w:after="100" w:before="180"/>
      </w:pPr>
      <w:r>
        <w:rPr>
          <w:rFonts w:ascii="Calibri" w:cs="Calibri" w:eastAsia="Calibri" w:hAnsi="Calibri"/>
        </w:rPr>
        <w:t xml:space="preserve">8.3 Denial management &amp; appeals</w:t>
      </w:r>
    </w:p>
    <w:p>
      <w:pPr>
        <w:spacing w:after="140" w:line="276"/>
        <w:jc w:val="both"/>
      </w:pPr>
      <w:r>
        <w:rPr>
          <w:rFonts w:ascii="Calibri" w:cs="Calibri" w:eastAsia="Calibri" w:hAnsi="Calibri"/>
        </w:rPr>
        <w:t xml:space="preserve">On denial, the Denial Management agent evaluates the appeal window and recoverable value, recommends a strategy with an estimated overturn probability, and drafts the appeal. Write-offs are proposed but require human approval, preserving revenue integrity.</w:t>
      </w:r>
    </w:p>
    <w:p>
      <w:pPr>
        <w:pStyle w:val="Heading3"/>
        <w:spacing w:after="100" w:before="180"/>
      </w:pPr>
      <w:r>
        <w:rPr>
          <w:rFonts w:ascii="Calibri" w:cs="Calibri" w:eastAsia="Calibri" w:hAnsi="Calibri"/>
        </w:rPr>
        <w:t xml:space="preserve">8.4 Point-of-registration eligibility</w:t>
      </w:r>
    </w:p>
    <w:p>
      <w:pPr>
        <w:spacing w:after="140" w:line="276"/>
        <w:jc w:val="both"/>
      </w:pPr>
      <w:r>
        <w:rPr>
          <w:rFonts w:ascii="Calibri" w:cs="Calibri" w:eastAsia="Calibri" w:hAnsi="Calibri"/>
        </w:rPr>
        <w:t xml:space="preserve">Front-desk staff or the scheduling system call the eligibility endpoint before a patient is seen, preventing denials before they happen.</w:t>
      </w:r>
    </w:p>
    <w:p>
      <w:pPr>
        <w:pStyle w:val="Heading3"/>
        <w:spacing w:after="100" w:before="180"/>
      </w:pPr>
      <w:r>
        <w:rPr>
          <w:rFonts w:ascii="Calibri" w:cs="Calibri" w:eastAsia="Calibri" w:hAnsi="Calibri"/>
        </w:rPr>
        <w:t xml:space="preserve">8.5 Privacy-sensitive deployment with local AI</w:t>
      </w:r>
    </w:p>
    <w:p>
      <w:pPr>
        <w:spacing w:after="140" w:line="276"/>
        <w:jc w:val="both"/>
      </w:pPr>
      <w:r>
        <w:rPr>
          <w:rFonts w:ascii="Calibri" w:cs="Calibri" w:eastAsia="Calibri" w:hAnsi="Calibri"/>
        </w:rPr>
        <w:t xml:space="preserve">A provider with strict data-residency requirements configures the local (Ollama) AI provider and field-level encryption, so patient documents and identifiers never leave its own infrastructure while still benefiting from AI-assisted extraction and the assistant.</w:t>
      </w:r>
    </w:p>
    <w:p>
      <w:pPr>
        <w:pStyle w:val="Heading1"/>
        <w:spacing w:after="160" w:before="320"/>
      </w:pPr>
      <w:r>
        <w:rPr>
          <w:rFonts w:ascii="Calibri" w:cs="Calibri" w:eastAsia="Calibri" w:hAnsi="Calibri"/>
        </w:rPr>
        <w:t xml:space="preserve">9. How to Use the Platform</w:t>
      </w:r>
    </w:p>
    <w:p>
      <w:pPr>
        <w:pStyle w:val="Heading2"/>
        <w:spacing w:after="120" w:before="240"/>
      </w:pPr>
      <w:r>
        <w:rPr>
          <w:rFonts w:ascii="Calibri" w:cs="Calibri" w:eastAsia="Calibri" w:hAnsi="Calibri"/>
        </w:rPr>
        <w:t xml:space="preserve">9.1 Roles and daily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BD5E1" w:sz="4"/>
              <w:left w:val="single" w:color="CBD5E1" w:sz="4"/>
              <w:bottom w:val="single" w:color="CBD5E1" w:sz="4"/>
              <w:right w:val="single" w:color="CBD5E1" w:sz="4"/>
            </w:tcBorders>
            <w:shd w:fill="1D6FB8" w:val="clear"/>
            <w:tcMar>
              <w:top w:type="dxa" w:w="60"/>
              <w:left w:type="dxa" w:w="120"/>
              <w:bottom w:type="dxa" w:w="60"/>
              <w:right w:type="dxa" w:w="120"/>
            </w:tcMar>
            <w:vAlign w:val="center"/>
          </w:tcPr>
          <w:p>
            <w:pPr>
              <w:spacing w:after="0" w:line="264"/>
              <w:jc w:val="left"/>
            </w:pPr>
            <w:r>
              <w:rPr>
                <w:rFonts w:ascii="Calibri" w:cs="Calibri" w:eastAsia="Calibri" w:hAnsi="Calibri"/>
                <w:b/>
                <w:bCs/>
                <w:color w:val="FFFFFF"/>
                <w:sz w:val="19"/>
                <w:szCs w:val="19"/>
              </w:rPr>
              <w:t xml:space="preserve">Role</w:t>
            </w:r>
          </w:p>
        </w:tc>
        <w:tc>
          <w:tcPr>
            <w:tcW w:type="dxa" w:w="7160"/>
            <w:tcBorders>
              <w:top w:val="single" w:color="CBD5E1" w:sz="4"/>
              <w:left w:val="single" w:color="CBD5E1" w:sz="4"/>
              <w:bottom w:val="single" w:color="CBD5E1" w:sz="4"/>
              <w:right w:val="single" w:color="CBD5E1" w:sz="4"/>
            </w:tcBorders>
            <w:shd w:fill="1D6FB8" w:val="clear"/>
            <w:tcMar>
              <w:top w:type="dxa" w:w="60"/>
              <w:left w:type="dxa" w:w="120"/>
              <w:bottom w:type="dxa" w:w="60"/>
              <w:right w:type="dxa" w:w="120"/>
            </w:tcMar>
            <w:vAlign w:val="center"/>
          </w:tcPr>
          <w:p>
            <w:pPr>
              <w:spacing w:after="0" w:line="264"/>
              <w:jc w:val="left"/>
            </w:pPr>
            <w:r>
              <w:rPr>
                <w:rFonts w:ascii="Calibri" w:cs="Calibri" w:eastAsia="Calibri" w:hAnsi="Calibri"/>
                <w:b/>
                <w:bCs/>
                <w:color w:val="FFFFFF"/>
                <w:sz w:val="19"/>
                <w:szCs w:val="19"/>
              </w:rPr>
              <w:t xml:space="preserve">How they use Veebase</w:t>
            </w:r>
          </w:p>
        </w:tc>
      </w:tr>
      <w:tr>
        <w:tc>
          <w:tcPr>
            <w:tcW w:type="dxa" w:w="22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Billing specialist</w:t>
            </w:r>
          </w:p>
        </w:tc>
        <w:tc>
          <w:tcPr>
            <w:tcW w:type="dxa" w:w="71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Works the exceptions queue: reviews paused claims, supplies missing auth, corrects coding, re-runs the agents.</w:t>
            </w:r>
          </w:p>
        </w:tc>
      </w:tr>
      <w:tr>
        <w:tc>
          <w:tcPr>
            <w:tcW w:type="dxa" w:w="2200"/>
            <w:tcBorders>
              <w:top w:val="single" w:color="CBD5E1" w:sz="4"/>
              <w:left w:val="single" w:color="CBD5E1" w:sz="4"/>
              <w:bottom w:val="single" w:color="CBD5E1" w:sz="4"/>
              <w:right w:val="single" w:color="CBD5E1" w:sz="4"/>
            </w:tcBorders>
            <w:shd w:fill="F4F8FC"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RCM manager</w:t>
            </w:r>
          </w:p>
        </w:tc>
        <w:tc>
          <w:tcPr>
            <w:tcW w:type="dxa" w:w="7160"/>
            <w:tcBorders>
              <w:top w:val="single" w:color="CBD5E1" w:sz="4"/>
              <w:left w:val="single" w:color="CBD5E1" w:sz="4"/>
              <w:bottom w:val="single" w:color="CBD5E1" w:sz="4"/>
              <w:right w:val="single" w:color="CBD5E1" w:sz="4"/>
            </w:tcBorders>
            <w:shd w:fill="F4F8FC"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Monitors KPIs and pipeline, manages escalations, approves high-value submissions and write-offs.</w:t>
            </w:r>
          </w:p>
        </w:tc>
      </w:tr>
      <w:tr>
        <w:tc>
          <w:tcPr>
            <w:tcW w:type="dxa" w:w="22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Compliance officer</w:t>
            </w:r>
          </w:p>
        </w:tc>
        <w:tc>
          <w:tcPr>
            <w:tcW w:type="dxa" w:w="71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Reviews the audit trail and fraud escalations; exports evidence for audit.</w:t>
            </w:r>
          </w:p>
        </w:tc>
      </w:tr>
      <w:tr>
        <w:tc>
          <w:tcPr>
            <w:tcW w:type="dxa" w:w="2200"/>
            <w:tcBorders>
              <w:top w:val="single" w:color="CBD5E1" w:sz="4"/>
              <w:left w:val="single" w:color="CBD5E1" w:sz="4"/>
              <w:bottom w:val="single" w:color="CBD5E1" w:sz="4"/>
              <w:right w:val="single" w:color="CBD5E1" w:sz="4"/>
            </w:tcBorders>
            <w:shd w:fill="F4F8FC"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Front desk / scheduler</w:t>
            </w:r>
          </w:p>
        </w:tc>
        <w:tc>
          <w:tcPr>
            <w:tcW w:type="dxa" w:w="7160"/>
            <w:tcBorders>
              <w:top w:val="single" w:color="CBD5E1" w:sz="4"/>
              <w:left w:val="single" w:color="CBD5E1" w:sz="4"/>
              <w:bottom w:val="single" w:color="CBD5E1" w:sz="4"/>
              <w:right w:val="single" w:color="CBD5E1" w:sz="4"/>
            </w:tcBorders>
            <w:shd w:fill="F4F8FC"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Runs eligibility pre-checks at registration.</w:t>
            </w:r>
          </w:p>
        </w:tc>
      </w:tr>
      <w:tr>
        <w:tc>
          <w:tcPr>
            <w:tcW w:type="dxa" w:w="22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Administrator</w:t>
            </w:r>
          </w:p>
        </w:tc>
        <w:tc>
          <w:tcPr>
            <w:tcW w:type="dxa" w:w="71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Manages users and roles, API keys, and the active AI provider.</w:t>
            </w:r>
          </w:p>
        </w:tc>
      </w:tr>
    </w:tbl>
    <w:p>
      <w:pPr>
        <w:pStyle w:val="Heading2"/>
        <w:spacing w:after="120" w:before="240"/>
      </w:pPr>
      <w:r>
        <w:rPr>
          <w:rFonts w:ascii="Calibri" w:cs="Calibri" w:eastAsia="Calibri" w:hAnsi="Calibri"/>
        </w:rPr>
        <w:t xml:space="preserve">9.2 A claim, end to end</w:t>
      </w:r>
    </w:p>
    <w:p>
      <w:pPr>
        <w:pStyle w:val="ListParagraph"/>
        <w:numPr>
          <w:ilvl w:val="0"/>
          <w:numId w:val="3"/>
        </w:numPr>
        <w:spacing w:after="80" w:line="270"/>
      </w:pPr>
      <w:r>
        <w:rPr>
          <w:rFonts w:ascii="Calibri" w:cs="Calibri" w:eastAsia="Calibri" w:hAnsi="Calibri"/>
        </w:rPr>
        <w:t xml:space="preserve">A claim is created — in the UI, via the REST/FHIR API, or from an ingested PDF.</w:t>
      </w:r>
    </w:p>
    <w:p>
      <w:pPr>
        <w:pStyle w:val="ListParagraph"/>
        <w:numPr>
          <w:ilvl w:val="0"/>
          <w:numId w:val="3"/>
        </w:numPr>
        <w:spacing w:after="80" w:line="270"/>
      </w:pPr>
      <w:r>
        <w:rPr>
          <w:rFonts w:ascii="Calibri" w:cs="Calibri" w:eastAsia="Calibri" w:hAnsi="Calibri"/>
        </w:rPr>
        <w:t xml:space="preserve">The engine scores it and the agents advance it automatically through low-risk stages.</w:t>
      </w:r>
    </w:p>
    <w:p>
      <w:pPr>
        <w:pStyle w:val="ListParagraph"/>
        <w:numPr>
          <w:ilvl w:val="0"/>
          <w:numId w:val="3"/>
        </w:numPr>
        <w:spacing w:after="80" w:line="270"/>
      </w:pPr>
      <w:r>
        <w:rPr>
          <w:rFonts w:ascii="Calibri" w:cs="Calibri" w:eastAsia="Calibri" w:hAnsi="Calibri"/>
        </w:rPr>
        <w:t xml:space="preserve">At the first gate requiring a human, the claim pauses and appears on the relevant worklist.</w:t>
      </w:r>
    </w:p>
    <w:p>
      <w:pPr>
        <w:pStyle w:val="ListParagraph"/>
        <w:numPr>
          <w:ilvl w:val="0"/>
          <w:numId w:val="3"/>
        </w:numPr>
        <w:spacing w:after="80" w:line="270"/>
      </w:pPr>
      <w:r>
        <w:rPr>
          <w:rFonts w:ascii="Calibri" w:cs="Calibri" w:eastAsia="Calibri" w:hAnsi="Calibri"/>
        </w:rPr>
        <w:t xml:space="preserve">A staff member resolves the exception and re-runs the agents; the claim continues to submission.</w:t>
      </w:r>
    </w:p>
    <w:p>
      <w:pPr>
        <w:pStyle w:val="ListParagraph"/>
        <w:numPr>
          <w:ilvl w:val="0"/>
          <w:numId w:val="3"/>
        </w:numPr>
        <w:spacing w:after="80" w:line="270"/>
      </w:pPr>
      <w:r>
        <w:rPr>
          <w:rFonts w:ascii="Calibri" w:cs="Calibri" w:eastAsia="Calibri" w:hAnsi="Calibri"/>
        </w:rPr>
        <w:t xml:space="preserve">The payer adjudicates; approved claims are paid and reconciled, denied claims enter appeals.</w:t>
      </w:r>
    </w:p>
    <w:p>
      <w:pPr>
        <w:pStyle w:val="ListParagraph"/>
        <w:numPr>
          <w:ilvl w:val="0"/>
          <w:numId w:val="3"/>
        </w:numPr>
        <w:spacing w:after="80" w:line="270"/>
      </w:pPr>
      <w:r>
        <w:rPr>
          <w:rFonts w:ascii="Calibri" w:cs="Calibri" w:eastAsia="Calibri" w:hAnsi="Calibri"/>
        </w:rPr>
        <w:t xml:space="preserve">Every step is audited and broadcast to subscribed systems via webhooks.</w:t>
      </w:r>
    </w:p>
    <w:p>
      <w:pPr>
        <w:pStyle w:val="Heading2"/>
        <w:spacing w:after="120" w:before="240"/>
      </w:pPr>
      <w:r>
        <w:rPr>
          <w:rFonts w:ascii="Calibri" w:cs="Calibri" w:eastAsia="Calibri" w:hAnsi="Calibri"/>
        </w:rPr>
        <w:t xml:space="preserve">9.3 Running the software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1D6FB8" w:sz="24"/>
              <w:bottom w:val="single" w:color="CBD5E1" w:sz="4"/>
              <w:right w:val="single" w:color="CBD5E1" w:sz="4"/>
            </w:tcBorders>
            <w:shd w:fill="F4F8FC" w:val="clear"/>
            <w:tcMar>
              <w:top w:type="dxa" w:w="120"/>
              <w:left w:type="dxa" w:w="200"/>
              <w:bottom w:type="dxa" w:w="120"/>
              <w:right w:type="dxa" w:w="160"/>
            </w:tcMar>
          </w:tcPr>
          <w:p>
            <w:pPr>
              <w:spacing w:after="60"/>
            </w:pPr>
            <w:r>
              <w:rPr>
                <w:rFonts w:ascii="Calibri" w:cs="Calibri" w:eastAsia="Calibri" w:hAnsi="Calibri"/>
                <w:b/>
                <w:bCs/>
                <w:color w:val="0B1F3A"/>
              </w:rPr>
              <w:t xml:space="preserve">Quick start (developer)</w:t>
            </w:r>
          </w:p>
          <w:p>
            <w:pPr>
              <w:spacing w:after="40" w:line="264"/>
            </w:pPr>
            <w:r>
              <w:rPr>
                <w:rFonts w:ascii="Calibri" w:cs="Calibri" w:eastAsia="Calibri" w:hAnsi="Calibri"/>
              </w:rPr>
              <w:t xml:space="preserve">1. ./scripts/setup.sh        # env, install, migrate, seed</w:t>
            </w:r>
          </w:p>
          <w:p>
            <w:pPr>
              <w:spacing w:after="40" w:line="264"/>
            </w:pPr>
            <w:r>
              <w:rPr>
                <w:rFonts w:ascii="Calibri" w:cs="Calibri" w:eastAsia="Calibri" w:hAnsi="Calibri"/>
              </w:rPr>
              <w:t xml:space="preserve">2. bun run dev               # http://localhost:3000  (or bun run build &amp;&amp; bun run start)</w:t>
            </w:r>
          </w:p>
          <w:p>
            <w:pPr>
              <w:spacing w:after="40" w:line="264"/>
            </w:pPr>
            <w:r>
              <w:rPr>
                <w:rFonts w:ascii="Calibri" w:cs="Calibri" w:eastAsia="Calibri" w:hAnsi="Calibri"/>
              </w:rPr>
              <w:t xml:space="preserve">API reference &amp; live explorer:  /docs    ·    OpenAPI:  /api/openapi.json</w:t>
            </w:r>
          </w:p>
        </w:tc>
      </w:tr>
    </w:tbl>
    <w:p>
      <w:r>
        <w:br w:type="page"/>
      </w:r>
    </w:p>
    <w:p>
      <w:pPr>
        <w:pStyle w:val="Heading1"/>
        <w:spacing w:after="160" w:before="320"/>
      </w:pPr>
      <w:r>
        <w:rPr>
          <w:rFonts w:ascii="Calibri" w:cs="Calibri" w:eastAsia="Calibri" w:hAnsi="Calibri"/>
        </w:rPr>
        <w:t xml:space="preserve">10. Business Benefits &amp;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rPr>
          <w:tblHeader/>
        </w:trPr>
        <w:tc>
          <w:tcPr>
            <w:tcW w:type="dxa" w:w="2600"/>
            <w:tcBorders>
              <w:top w:val="single" w:color="CBD5E1" w:sz="4"/>
              <w:left w:val="single" w:color="CBD5E1" w:sz="4"/>
              <w:bottom w:val="single" w:color="CBD5E1" w:sz="4"/>
              <w:right w:val="single" w:color="CBD5E1" w:sz="4"/>
            </w:tcBorders>
            <w:shd w:fill="1D6FB8" w:val="clear"/>
            <w:tcMar>
              <w:top w:type="dxa" w:w="60"/>
              <w:left w:type="dxa" w:w="120"/>
              <w:bottom w:type="dxa" w:w="60"/>
              <w:right w:type="dxa" w:w="120"/>
            </w:tcMar>
            <w:vAlign w:val="center"/>
          </w:tcPr>
          <w:p>
            <w:pPr>
              <w:spacing w:after="0" w:line="264"/>
              <w:jc w:val="left"/>
            </w:pPr>
            <w:r>
              <w:rPr>
                <w:rFonts w:ascii="Calibri" w:cs="Calibri" w:eastAsia="Calibri" w:hAnsi="Calibri"/>
                <w:b/>
                <w:bCs/>
                <w:color w:val="FFFFFF"/>
                <w:sz w:val="19"/>
                <w:szCs w:val="19"/>
              </w:rPr>
              <w:t xml:space="preserve">KPI</w:t>
            </w:r>
          </w:p>
        </w:tc>
        <w:tc>
          <w:tcPr>
            <w:tcW w:type="dxa" w:w="3600"/>
            <w:tcBorders>
              <w:top w:val="single" w:color="CBD5E1" w:sz="4"/>
              <w:left w:val="single" w:color="CBD5E1" w:sz="4"/>
              <w:bottom w:val="single" w:color="CBD5E1" w:sz="4"/>
              <w:right w:val="single" w:color="CBD5E1" w:sz="4"/>
            </w:tcBorders>
            <w:shd w:fill="1D6FB8" w:val="clear"/>
            <w:tcMar>
              <w:top w:type="dxa" w:w="60"/>
              <w:left w:type="dxa" w:w="120"/>
              <w:bottom w:type="dxa" w:w="60"/>
              <w:right w:type="dxa" w:w="120"/>
            </w:tcMar>
            <w:vAlign w:val="center"/>
          </w:tcPr>
          <w:p>
            <w:pPr>
              <w:spacing w:after="0" w:line="264"/>
              <w:jc w:val="left"/>
            </w:pPr>
            <w:r>
              <w:rPr>
                <w:rFonts w:ascii="Calibri" w:cs="Calibri" w:eastAsia="Calibri" w:hAnsi="Calibri"/>
                <w:b/>
                <w:bCs/>
                <w:color w:val="FFFFFF"/>
                <w:sz w:val="19"/>
                <w:szCs w:val="19"/>
              </w:rPr>
              <w:t xml:space="preserve">What it measures</w:t>
            </w:r>
          </w:p>
        </w:tc>
        <w:tc>
          <w:tcPr>
            <w:tcW w:type="dxa" w:w="3160"/>
            <w:tcBorders>
              <w:top w:val="single" w:color="CBD5E1" w:sz="4"/>
              <w:left w:val="single" w:color="CBD5E1" w:sz="4"/>
              <w:bottom w:val="single" w:color="CBD5E1" w:sz="4"/>
              <w:right w:val="single" w:color="CBD5E1" w:sz="4"/>
            </w:tcBorders>
            <w:shd w:fill="1D6FB8" w:val="clear"/>
            <w:tcMar>
              <w:top w:type="dxa" w:w="60"/>
              <w:left w:type="dxa" w:w="120"/>
              <w:bottom w:type="dxa" w:w="60"/>
              <w:right w:type="dxa" w:w="120"/>
            </w:tcMar>
            <w:vAlign w:val="center"/>
          </w:tcPr>
          <w:p>
            <w:pPr>
              <w:spacing w:after="0" w:line="264"/>
              <w:jc w:val="left"/>
            </w:pPr>
            <w:r>
              <w:rPr>
                <w:rFonts w:ascii="Calibri" w:cs="Calibri" w:eastAsia="Calibri" w:hAnsi="Calibri"/>
                <w:b/>
                <w:bCs/>
                <w:color w:val="FFFFFF"/>
                <w:sz w:val="19"/>
                <w:szCs w:val="19"/>
              </w:rPr>
              <w:t xml:space="preserve">Why it matters</w:t>
            </w:r>
          </w:p>
        </w:tc>
      </w:tr>
      <w:tr>
        <w:tc>
          <w:tcPr>
            <w:tcW w:type="dxa" w:w="26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First-Pass Claim Rate</w:t>
            </w:r>
          </w:p>
        </w:tc>
        <w:tc>
          <w:tcPr>
            <w:tcW w:type="dxa" w:w="36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 of claims accepted on first submission</w:t>
            </w:r>
          </w:p>
        </w:tc>
        <w:tc>
          <w:tcPr>
            <w:tcW w:type="dxa" w:w="31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Higher rate = less rework, faster cash.</w:t>
            </w:r>
          </w:p>
        </w:tc>
      </w:tr>
      <w:tr>
        <w:tc>
          <w:tcPr>
            <w:tcW w:type="dxa" w:w="2600"/>
            <w:tcBorders>
              <w:top w:val="single" w:color="CBD5E1" w:sz="4"/>
              <w:left w:val="single" w:color="CBD5E1" w:sz="4"/>
              <w:bottom w:val="single" w:color="CBD5E1" w:sz="4"/>
              <w:right w:val="single" w:color="CBD5E1" w:sz="4"/>
            </w:tcBorders>
            <w:shd w:fill="F4F8FC"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Denial Rate</w:t>
            </w:r>
          </w:p>
        </w:tc>
        <w:tc>
          <w:tcPr>
            <w:tcW w:type="dxa" w:w="3600"/>
            <w:tcBorders>
              <w:top w:val="single" w:color="CBD5E1" w:sz="4"/>
              <w:left w:val="single" w:color="CBD5E1" w:sz="4"/>
              <w:bottom w:val="single" w:color="CBD5E1" w:sz="4"/>
              <w:right w:val="single" w:color="CBD5E1" w:sz="4"/>
            </w:tcBorders>
            <w:shd w:fill="F4F8FC"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 of claims denied</w:t>
            </w:r>
          </w:p>
        </w:tc>
        <w:tc>
          <w:tcPr>
            <w:tcW w:type="dxa" w:w="3160"/>
            <w:tcBorders>
              <w:top w:val="single" w:color="CBD5E1" w:sz="4"/>
              <w:left w:val="single" w:color="CBD5E1" w:sz="4"/>
              <w:bottom w:val="single" w:color="CBD5E1" w:sz="4"/>
              <w:right w:val="single" w:color="CBD5E1" w:sz="4"/>
            </w:tcBorders>
            <w:shd w:fill="F4F8FC"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Lower denials = recovered revenue.</w:t>
            </w:r>
          </w:p>
        </w:tc>
      </w:tr>
      <w:tr>
        <w:tc>
          <w:tcPr>
            <w:tcW w:type="dxa" w:w="26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Preventable Denial Rate</w:t>
            </w:r>
          </w:p>
        </w:tc>
        <w:tc>
          <w:tcPr>
            <w:tcW w:type="dxa" w:w="36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 of denials that were avoidable</w:t>
            </w:r>
          </w:p>
        </w:tc>
        <w:tc>
          <w:tcPr>
            <w:tcW w:type="dxa" w:w="31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Directly addressed by the agents’ pre-checks.</w:t>
            </w:r>
          </w:p>
        </w:tc>
      </w:tr>
      <w:tr>
        <w:tc>
          <w:tcPr>
            <w:tcW w:type="dxa" w:w="2600"/>
            <w:tcBorders>
              <w:top w:val="single" w:color="CBD5E1" w:sz="4"/>
              <w:left w:val="single" w:color="CBD5E1" w:sz="4"/>
              <w:bottom w:val="single" w:color="CBD5E1" w:sz="4"/>
              <w:right w:val="single" w:color="CBD5E1" w:sz="4"/>
            </w:tcBorders>
            <w:shd w:fill="F4F8FC"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Appeal Overturn Rate</w:t>
            </w:r>
          </w:p>
        </w:tc>
        <w:tc>
          <w:tcPr>
            <w:tcW w:type="dxa" w:w="3600"/>
            <w:tcBorders>
              <w:top w:val="single" w:color="CBD5E1" w:sz="4"/>
              <w:left w:val="single" w:color="CBD5E1" w:sz="4"/>
              <w:bottom w:val="single" w:color="CBD5E1" w:sz="4"/>
              <w:right w:val="single" w:color="CBD5E1" w:sz="4"/>
            </w:tcBorders>
            <w:shd w:fill="F4F8FC"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 of appeals won</w:t>
            </w:r>
          </w:p>
        </w:tc>
        <w:tc>
          <w:tcPr>
            <w:tcW w:type="dxa" w:w="3160"/>
            <w:tcBorders>
              <w:top w:val="single" w:color="CBD5E1" w:sz="4"/>
              <w:left w:val="single" w:color="CBD5E1" w:sz="4"/>
              <w:bottom w:val="single" w:color="CBD5E1" w:sz="4"/>
              <w:right w:val="single" w:color="CBD5E1" w:sz="4"/>
            </w:tcBorders>
            <w:shd w:fill="F4F8FC"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Recovers revenue from denied claims.</w:t>
            </w:r>
          </w:p>
        </w:tc>
      </w:tr>
      <w:tr>
        <w:tc>
          <w:tcPr>
            <w:tcW w:type="dxa" w:w="26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AR Days</w:t>
            </w:r>
          </w:p>
        </w:tc>
        <w:tc>
          <w:tcPr>
            <w:tcW w:type="dxa" w:w="36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Average days to collect</w:t>
            </w:r>
          </w:p>
        </w:tc>
        <w:tc>
          <w:tcPr>
            <w:tcW w:type="dxa" w:w="31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Lower = healthier cash flow.</w:t>
            </w:r>
          </w:p>
        </w:tc>
      </w:tr>
      <w:tr>
        <w:tc>
          <w:tcPr>
            <w:tcW w:type="dxa" w:w="2600"/>
            <w:tcBorders>
              <w:top w:val="single" w:color="CBD5E1" w:sz="4"/>
              <w:left w:val="single" w:color="CBD5E1" w:sz="4"/>
              <w:bottom w:val="single" w:color="CBD5E1" w:sz="4"/>
              <w:right w:val="single" w:color="CBD5E1" w:sz="4"/>
            </w:tcBorders>
            <w:shd w:fill="F4F8FC"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Net Collection Rate</w:t>
            </w:r>
          </w:p>
        </w:tc>
        <w:tc>
          <w:tcPr>
            <w:tcW w:type="dxa" w:w="3600"/>
            <w:tcBorders>
              <w:top w:val="single" w:color="CBD5E1" w:sz="4"/>
              <w:left w:val="single" w:color="CBD5E1" w:sz="4"/>
              <w:bottom w:val="single" w:color="CBD5E1" w:sz="4"/>
              <w:right w:val="single" w:color="CBD5E1" w:sz="4"/>
            </w:tcBorders>
            <w:shd w:fill="F4F8FC"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 of collectable revenue collected</w:t>
            </w:r>
          </w:p>
        </w:tc>
        <w:tc>
          <w:tcPr>
            <w:tcW w:type="dxa" w:w="3160"/>
            <w:tcBorders>
              <w:top w:val="single" w:color="CBD5E1" w:sz="4"/>
              <w:left w:val="single" w:color="CBD5E1" w:sz="4"/>
              <w:bottom w:val="single" w:color="CBD5E1" w:sz="4"/>
              <w:right w:val="single" w:color="CBD5E1" w:sz="4"/>
            </w:tcBorders>
            <w:shd w:fill="F4F8FC"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The bottom-line efficiency of the cycle.</w:t>
            </w:r>
          </w:p>
        </w:tc>
      </w:tr>
      <w:tr>
        <w:tc>
          <w:tcPr>
            <w:tcW w:type="dxa" w:w="26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Clean Claim Rate</w:t>
            </w:r>
          </w:p>
        </w:tc>
        <w:tc>
          <w:tcPr>
            <w:tcW w:type="dxa" w:w="36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 of claims with no errors</w:t>
            </w:r>
          </w:p>
        </w:tc>
        <w:tc>
          <w:tcPr>
            <w:tcW w:type="dxa" w:w="31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Leading indicator of pipeline quality.</w:t>
            </w:r>
          </w:p>
        </w:tc>
      </w:tr>
      <w:tr>
        <w:tc>
          <w:tcPr>
            <w:tcW w:type="dxa" w:w="2600"/>
            <w:tcBorders>
              <w:top w:val="single" w:color="CBD5E1" w:sz="4"/>
              <w:left w:val="single" w:color="CBD5E1" w:sz="4"/>
              <w:bottom w:val="single" w:color="CBD5E1" w:sz="4"/>
              <w:right w:val="single" w:color="CBD5E1" w:sz="4"/>
            </w:tcBorders>
            <w:shd w:fill="F4F8FC"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Prior-Auth Approval Rate</w:t>
            </w:r>
          </w:p>
        </w:tc>
        <w:tc>
          <w:tcPr>
            <w:tcW w:type="dxa" w:w="3600"/>
            <w:tcBorders>
              <w:top w:val="single" w:color="CBD5E1" w:sz="4"/>
              <w:left w:val="single" w:color="CBD5E1" w:sz="4"/>
              <w:bottom w:val="single" w:color="CBD5E1" w:sz="4"/>
              <w:right w:val="single" w:color="CBD5E1" w:sz="4"/>
            </w:tcBorders>
            <w:shd w:fill="F4F8FC"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 of authorisations obtained</w:t>
            </w:r>
          </w:p>
        </w:tc>
        <w:tc>
          <w:tcPr>
            <w:tcW w:type="dxa" w:w="3160"/>
            <w:tcBorders>
              <w:top w:val="single" w:color="CBD5E1" w:sz="4"/>
              <w:left w:val="single" w:color="CBD5E1" w:sz="4"/>
              <w:bottom w:val="single" w:color="CBD5E1" w:sz="4"/>
              <w:right w:val="single" w:color="CBD5E1" w:sz="4"/>
            </w:tcBorders>
            <w:shd w:fill="F4F8FC"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Prevents the most common denial cause.</w:t>
            </w:r>
          </w:p>
        </w:tc>
      </w:tr>
    </w:tbl>
    <w:p>
      <w:pPr>
        <w:spacing w:after="40"/>
      </w:pPr>
      <w:r>
        <w:rPr>
          <w:rFonts w:ascii="Calibri" w:cs="Calibri" w:eastAsia="Calibri" w:hAnsi="Calibri"/>
        </w:rPr>
        <w:t xml:space="preserve"/>
      </w:r>
    </w:p>
    <w:p>
      <w:pPr>
        <w:pStyle w:val="Heading2"/>
        <w:spacing w:after="120" w:before="240"/>
      </w:pPr>
      <w:r>
        <w:rPr>
          <w:rFonts w:ascii="Calibri" w:cs="Calibri" w:eastAsia="Calibri" w:hAnsi="Calibri"/>
        </w:rPr>
        <w:t xml:space="preserve">10.1 Quantified value drivers</w:t>
      </w:r>
    </w:p>
    <w:p>
      <w:pPr>
        <w:pStyle w:val="ListParagraph"/>
        <w:numPr>
          <w:ilvl w:val="0"/>
          <w:numId w:val="2"/>
        </w:numPr>
        <w:spacing w:after="80" w:line="270"/>
      </w:pPr>
      <w:r>
        <w:rPr>
          <w:rFonts w:ascii="Calibri" w:cs="Calibri" w:eastAsia="Calibri" w:hAnsi="Calibri"/>
          <w:b/>
          <w:bCs/>
        </w:rPr>
        <w:t xml:space="preserve">Fewer denials:</w:t>
      </w:r>
      <w:r>
        <w:rPr>
          <w:rFonts w:ascii="Calibri" w:cs="Calibri" w:eastAsia="Calibri" w:hAnsi="Calibri"/>
        </w:rPr>
        <w:t xml:space="preserve"> automated eligibility, prior-auth and scrubbing checks remove the most common, preventable denial causes before submission.</w:t>
      </w:r>
    </w:p>
    <w:p>
      <w:pPr>
        <w:pStyle w:val="ListParagraph"/>
        <w:numPr>
          <w:ilvl w:val="0"/>
          <w:numId w:val="2"/>
        </w:numPr>
        <w:spacing w:after="80" w:line="270"/>
      </w:pPr>
      <w:r>
        <w:rPr>
          <w:rFonts w:ascii="Calibri" w:cs="Calibri" w:eastAsia="Calibri" w:hAnsi="Calibri"/>
          <w:b/>
          <w:bCs/>
        </w:rPr>
        <w:t xml:space="preserve">Faster cash:</w:t>
      </w:r>
      <w:r>
        <w:rPr>
          <w:rFonts w:ascii="Calibri" w:cs="Calibri" w:eastAsia="Calibri" w:hAnsi="Calibri"/>
        </w:rPr>
        <w:t xml:space="preserve"> clean claims are submitted immediately and tracked against payer-specific filing deadlines, compressing AR days.</w:t>
      </w:r>
    </w:p>
    <w:p>
      <w:pPr>
        <w:pStyle w:val="ListParagraph"/>
        <w:numPr>
          <w:ilvl w:val="0"/>
          <w:numId w:val="2"/>
        </w:numPr>
        <w:spacing w:after="80" w:line="270"/>
      </w:pPr>
      <w:r>
        <w:rPr>
          <w:rFonts w:ascii="Calibri" w:cs="Calibri" w:eastAsia="Calibri" w:hAnsi="Calibri"/>
          <w:b/>
          <w:bCs/>
        </w:rPr>
        <w:t xml:space="preserve">Lower cost-to-collect:</w:t>
      </w:r>
      <w:r>
        <w:rPr>
          <w:rFonts w:ascii="Calibri" w:cs="Calibri" w:eastAsia="Calibri" w:hAnsi="Calibri"/>
        </w:rPr>
        <w:t xml:space="preserve"> staff handle only exceptions, not every claim, raising throughput per employee.</w:t>
      </w:r>
    </w:p>
    <w:p>
      <w:pPr>
        <w:pStyle w:val="ListParagraph"/>
        <w:numPr>
          <w:ilvl w:val="0"/>
          <w:numId w:val="2"/>
        </w:numPr>
        <w:spacing w:after="80" w:line="270"/>
      </w:pPr>
      <w:r>
        <w:rPr>
          <w:rFonts w:ascii="Calibri" w:cs="Calibri" w:eastAsia="Calibri" w:hAnsi="Calibri"/>
          <w:b/>
          <w:bCs/>
        </w:rPr>
        <w:t xml:space="preserve">Revenue integrity:</w:t>
      </w:r>
      <w:r>
        <w:rPr>
          <w:rFonts w:ascii="Calibri" w:cs="Calibri" w:eastAsia="Calibri" w:hAnsi="Calibri"/>
        </w:rPr>
        <w:t xml:space="preserve"> charge-capture and fraud screening recover under-billed revenue and prevent compliance losses.</w:t>
      </w:r>
    </w:p>
    <w:p>
      <w:pPr>
        <w:pStyle w:val="ListParagraph"/>
        <w:numPr>
          <w:ilvl w:val="0"/>
          <w:numId w:val="2"/>
        </w:numPr>
        <w:spacing w:after="80" w:line="270"/>
      </w:pPr>
      <w:r>
        <w:rPr>
          <w:rFonts w:ascii="Calibri" w:cs="Calibri" w:eastAsia="Calibri" w:hAnsi="Calibri"/>
          <w:b/>
          <w:bCs/>
        </w:rPr>
        <w:t xml:space="preserve">Auditability:</w:t>
      </w:r>
      <w:r>
        <w:rPr>
          <w:rFonts w:ascii="Calibri" w:cs="Calibri" w:eastAsia="Calibri" w:hAnsi="Calibri"/>
        </w:rPr>
        <w:t xml:space="preserve"> a complete decision trail reduces compliance risk and accelerates audits.</w:t>
      </w:r>
    </w:p>
    <w:p>
      <w:pPr>
        <w:pStyle w:val="Heading1"/>
        <w:spacing w:after="160" w:before="320"/>
      </w:pPr>
      <w:r>
        <w:rPr>
          <w:rFonts w:ascii="Calibri" w:cs="Calibri" w:eastAsia="Calibri" w:hAnsi="Calibri"/>
        </w:rPr>
        <w:t xml:space="preserve">11. Governance Maturity &amp;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5960"/>
      </w:tblGrid>
      <w:tr>
        <w:trPr>
          <w:tblHeader/>
        </w:trPr>
        <w:tc>
          <w:tcPr>
            <w:tcW w:type="dxa" w:w="1500"/>
            <w:tcBorders>
              <w:top w:val="single" w:color="CBD5E1" w:sz="4"/>
              <w:left w:val="single" w:color="CBD5E1" w:sz="4"/>
              <w:bottom w:val="single" w:color="CBD5E1" w:sz="4"/>
              <w:right w:val="single" w:color="CBD5E1" w:sz="4"/>
            </w:tcBorders>
            <w:shd w:fill="1D6FB8" w:val="clear"/>
            <w:tcMar>
              <w:top w:type="dxa" w:w="60"/>
              <w:left w:type="dxa" w:w="120"/>
              <w:bottom w:type="dxa" w:w="60"/>
              <w:right w:type="dxa" w:w="120"/>
            </w:tcMar>
            <w:vAlign w:val="center"/>
          </w:tcPr>
          <w:p>
            <w:pPr>
              <w:spacing w:after="0" w:line="264"/>
              <w:jc w:val="left"/>
            </w:pPr>
            <w:r>
              <w:rPr>
                <w:rFonts w:ascii="Calibri" w:cs="Calibri" w:eastAsia="Calibri" w:hAnsi="Calibri"/>
                <w:b/>
                <w:bCs/>
                <w:color w:val="FFFFFF"/>
                <w:sz w:val="19"/>
                <w:szCs w:val="19"/>
              </w:rPr>
              <w:t xml:space="preserve">Phase</w:t>
            </w:r>
          </w:p>
        </w:tc>
        <w:tc>
          <w:tcPr>
            <w:tcW w:type="dxa" w:w="1900"/>
            <w:tcBorders>
              <w:top w:val="single" w:color="CBD5E1" w:sz="4"/>
              <w:left w:val="single" w:color="CBD5E1" w:sz="4"/>
              <w:bottom w:val="single" w:color="CBD5E1" w:sz="4"/>
              <w:right w:val="single" w:color="CBD5E1" w:sz="4"/>
            </w:tcBorders>
            <w:shd w:fill="1D6FB8" w:val="clear"/>
            <w:tcMar>
              <w:top w:type="dxa" w:w="60"/>
              <w:left w:type="dxa" w:w="120"/>
              <w:bottom w:type="dxa" w:w="60"/>
              <w:right w:type="dxa" w:w="120"/>
            </w:tcMar>
            <w:vAlign w:val="center"/>
          </w:tcPr>
          <w:p>
            <w:pPr>
              <w:spacing w:after="0" w:line="264"/>
              <w:jc w:val="left"/>
            </w:pPr>
            <w:r>
              <w:rPr>
                <w:rFonts w:ascii="Calibri" w:cs="Calibri" w:eastAsia="Calibri" w:hAnsi="Calibri"/>
                <w:b/>
                <w:bCs/>
                <w:color w:val="FFFFFF"/>
                <w:sz w:val="19"/>
                <w:szCs w:val="19"/>
              </w:rPr>
              <w:t xml:space="preserve">Mode</w:t>
            </w:r>
          </w:p>
        </w:tc>
        <w:tc>
          <w:tcPr>
            <w:tcW w:type="dxa" w:w="5960"/>
            <w:tcBorders>
              <w:top w:val="single" w:color="CBD5E1" w:sz="4"/>
              <w:left w:val="single" w:color="CBD5E1" w:sz="4"/>
              <w:bottom w:val="single" w:color="CBD5E1" w:sz="4"/>
              <w:right w:val="single" w:color="CBD5E1" w:sz="4"/>
            </w:tcBorders>
            <w:shd w:fill="1D6FB8" w:val="clear"/>
            <w:tcMar>
              <w:top w:type="dxa" w:w="60"/>
              <w:left w:type="dxa" w:w="120"/>
              <w:bottom w:type="dxa" w:w="60"/>
              <w:right w:type="dxa" w:w="120"/>
            </w:tcMar>
            <w:vAlign w:val="center"/>
          </w:tcPr>
          <w:p>
            <w:pPr>
              <w:spacing w:after="0" w:line="264"/>
              <w:jc w:val="left"/>
            </w:pPr>
            <w:r>
              <w:rPr>
                <w:rFonts w:ascii="Calibri" w:cs="Calibri" w:eastAsia="Calibri" w:hAnsi="Calibri"/>
                <w:b/>
                <w:bCs/>
                <w:color w:val="FFFFFF"/>
                <w:sz w:val="19"/>
                <w:szCs w:val="19"/>
              </w:rPr>
              <w:t xml:space="preserve">Description</w:t>
            </w:r>
          </w:p>
        </w:tc>
      </w:tr>
      <w:tr>
        <w:tc>
          <w:tcPr>
            <w:tcW w:type="dxa" w:w="15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Phase 1</w:t>
            </w:r>
          </w:p>
        </w:tc>
        <w:tc>
          <w:tcPr>
            <w:tcW w:type="dxa" w:w="19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Assistive</w:t>
            </w:r>
          </w:p>
        </w:tc>
        <w:tc>
          <w:tcPr>
            <w:tcW w:type="dxa" w:w="59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Agents recommend; humans approve at REVIEW/APPROVE gates. (Current.)</w:t>
            </w:r>
          </w:p>
        </w:tc>
      </w:tr>
      <w:tr>
        <w:tc>
          <w:tcPr>
            <w:tcW w:type="dxa" w:w="1500"/>
            <w:tcBorders>
              <w:top w:val="single" w:color="CBD5E1" w:sz="4"/>
              <w:left w:val="single" w:color="CBD5E1" w:sz="4"/>
              <w:bottom w:val="single" w:color="CBD5E1" w:sz="4"/>
              <w:right w:val="single" w:color="CBD5E1" w:sz="4"/>
            </w:tcBorders>
            <w:shd w:fill="F4F8FC"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Phase 2</w:t>
            </w:r>
          </w:p>
        </w:tc>
        <w:tc>
          <w:tcPr>
            <w:tcW w:type="dxa" w:w="1900"/>
            <w:tcBorders>
              <w:top w:val="single" w:color="CBD5E1" w:sz="4"/>
              <w:left w:val="single" w:color="CBD5E1" w:sz="4"/>
              <w:bottom w:val="single" w:color="CBD5E1" w:sz="4"/>
              <w:right w:val="single" w:color="CBD5E1" w:sz="4"/>
            </w:tcBorders>
            <w:shd w:fill="F4F8FC"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Supervised</w:t>
            </w:r>
          </w:p>
        </w:tc>
        <w:tc>
          <w:tcPr>
            <w:tcW w:type="dxa" w:w="5960"/>
            <w:tcBorders>
              <w:top w:val="single" w:color="CBD5E1" w:sz="4"/>
              <w:left w:val="single" w:color="CBD5E1" w:sz="4"/>
              <w:bottom w:val="single" w:color="CBD5E1" w:sz="4"/>
              <w:right w:val="single" w:color="CBD5E1" w:sz="4"/>
            </w:tcBorders>
            <w:shd w:fill="F4F8FC"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Expanded auto-handling of proven low-risk paths; humans supervise by exception.</w:t>
            </w:r>
          </w:p>
        </w:tc>
      </w:tr>
      <w:tr>
        <w:tc>
          <w:tcPr>
            <w:tcW w:type="dxa" w:w="15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Phase 3</w:t>
            </w:r>
          </w:p>
        </w:tc>
        <w:tc>
          <w:tcPr>
            <w:tcW w:type="dxa" w:w="19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Scaled</w:t>
            </w:r>
          </w:p>
        </w:tc>
        <w:tc>
          <w:tcPr>
            <w:tcW w:type="dxa" w:w="59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spacing w:after="0" w:line="264"/>
              <w:jc w:val="left"/>
            </w:pPr>
            <w:r>
              <w:rPr>
                <w:rFonts w:ascii="Calibri" w:cs="Calibri" w:eastAsia="Calibri" w:hAnsi="Calibri"/>
                <w:b w:val="false"/>
                <w:bCs w:val="false"/>
                <w:color w:val="1F2937"/>
                <w:sz w:val="19"/>
                <w:szCs w:val="19"/>
              </w:rPr>
              <w:t xml:space="preserve">Broad autonomy for routine claims; humans focus on complex and high-value cases.</w:t>
            </w:r>
          </w:p>
        </w:tc>
      </w:tr>
    </w:tbl>
    <w:p>
      <w:pPr>
        <w:pStyle w:val="Heading1"/>
        <w:spacing w:after="160" w:before="320"/>
      </w:pPr>
      <w:r>
        <w:rPr>
          <w:rFonts w:ascii="Calibri" w:cs="Calibri" w:eastAsia="Calibri" w:hAnsi="Calibri"/>
        </w:rPr>
        <w:t xml:space="preserve">12. Conclusion</w:t>
      </w:r>
    </w:p>
    <w:p>
      <w:pPr>
        <w:spacing w:after="140" w:line="276"/>
        <w:jc w:val="both"/>
      </w:pPr>
      <w:r>
        <w:rPr>
          <w:rFonts w:ascii="Calibri" w:cs="Calibri" w:eastAsia="Calibri" w:hAnsi="Calibri"/>
        </w:rPr>
        <w:t xml:space="preserve">Veebase RCM Intelligence Platform combines the speed of autonomous agents with the safety of human governance, the openness of standards-based integration, a pluggable AI foundation that can run in the cloud or fully on-premise, and enterprise-grade access control and data protection — all with the local fluency of a bilingual, NHIA-aware design.</w:t>
      </w:r>
    </w:p>
    <w:p>
      <w:pPr>
        <w:spacing w:after="140" w:line="276"/>
        <w:jc w:val="both"/>
      </w:pPr>
      <w:r>
        <w:rPr>
          <w:rFonts w:ascii="Calibri" w:cs="Calibri" w:eastAsia="Calibri" w:hAnsi="Calibri"/>
        </w:rPr>
        <w:t xml:space="preserve">The result is a platform that reduces denials, accelerates cash, lowers the cost to collect, and produces a complete, defensible record of every action — ready to plug into any hospital information system, insurer or analytics stack, in or out, on the AI model of your choice.</w:t>
      </w:r>
    </w:p>
    <w:p>
      <w:pPr>
        <w:spacing w:after="120"/>
      </w:pPr>
      <w:r>
        <w:rPr>
          <w:rFonts w:ascii="Calibri" w:cs="Calibri" w:eastAsia="Calibri" w:hAnsi="Calibri"/>
        </w:rPr>
        <w:t xml:space="preserve"/>
      </w:r>
    </w:p>
    <w:p>
      <w:pPr>
        <w:jc w:val="center"/>
      </w:pPr>
      <w:r>
        <w:rPr>
          <w:rFonts w:ascii="Calibri" w:cs="Calibri" w:eastAsia="Calibri" w:hAnsi="Calibri"/>
          <w:i/>
          <w:iCs/>
          <w:color w:val="6B7280"/>
        </w:rPr>
        <w:t xml:space="preserve">Veebase RCM Intelligence Platform — Version 1.0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Page </w:t>
    </w:r>
    <w:r>
      <w:rPr>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tabs>
        <w:tab w:val="right" w:pos="9360"/>
      </w:tabs>
    </w:pPr>
    <w:r>
      <w:rPr>
        <w:rFonts w:ascii="Calibri" w:cs="Calibri" w:eastAsia="Calibri" w:hAnsi="Calibri"/>
        <w:color w:val="6B7280"/>
        <w:sz w:val="16"/>
        <w:szCs w:val="16"/>
      </w:rPr>
      <w:t xml:space="preserve">Veebase RCM Intelligence Platform</w:t>
    </w:r>
    <w:r>
      <w:rPr>
        <w:rFonts w:ascii="Calibri" w:cs="Calibri" w:eastAsia="Calibri" w:hAnsi="Calibri"/>
        <w:color w:val="6B7280"/>
        <w:sz w:val="16"/>
        <w:szCs w:val="16"/>
      </w:rPr>
      <w:t xml:space="preserve">	Solution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D6FB8" w:sz="8" w:space="6"/>
      </w:pBdr>
      <w:spacing w:after="160" w:before="320"/>
      <w:outlineLvl w:val="0"/>
    </w:pPr>
    <w:rPr>
      <w:rFonts w:ascii="Calibri" w:cs="Calibri" w:eastAsia="Calibri" w:hAnsi="Calibri"/>
      <w:b/>
      <w:bCs/>
      <w:color w:val="0B1F3A"/>
      <w:sz w:val="30"/>
      <w:szCs w:val="30"/>
    </w:rPr>
  </w:style>
  <w:style w:type="paragraph" w:styleId="Heading2">
    <w:name w:val="Heading 2"/>
    <w:basedOn w:val="Normal"/>
    <w:next w:val="Normal"/>
    <w:qFormat/>
    <w:pPr>
      <w:spacing w:after="100" w:before="240"/>
      <w:outlineLvl w:val="1"/>
    </w:pPr>
    <w:rPr>
      <w:rFonts w:ascii="Calibri" w:cs="Calibri" w:eastAsia="Calibri" w:hAnsi="Calibri"/>
      <w:b/>
      <w:bCs/>
      <w:color w:val="1D6FB8"/>
      <w:sz w:val="25"/>
      <w:szCs w:val="25"/>
    </w:rPr>
  </w:style>
  <w:style w:type="paragraph" w:styleId="Heading3">
    <w:name w:val="Heading 3"/>
    <w:basedOn w:val="Normal"/>
    <w:next w:val="Normal"/>
    <w:qFormat/>
    <w:pPr>
      <w:spacing w:after="80" w:before="180"/>
      <w:outlineLvl w:val="2"/>
    </w:pPr>
    <w:rPr>
      <w:rFonts w:ascii="Calibri" w:cs="Calibri" w:eastAsia="Calibri" w:hAnsi="Calibri"/>
      <w:b/>
      <w:bCs/>
      <w:color w:val="0E7C7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Veebase RCM Intelligence Platform — Solution Document</dc:title>
  <dc:creator>Veebase</dc:creator>
  <dc:description>Agentic AI for Healthcare Revenue Cycle Management</dc:description>
  <cp:lastModifiedBy>Un-named</cp:lastModifiedBy>
  <cp:revision>1</cp:revision>
  <dcterms:created xsi:type="dcterms:W3CDTF">2026-06-05T22:05:56.337Z</dcterms:created>
  <dcterms:modified xsi:type="dcterms:W3CDTF">2026-06-05T22:05:56.338Z</dcterms:modified>
</cp:coreProperties>
</file>

<file path=docProps/custom.xml><?xml version="1.0" encoding="utf-8"?>
<Properties xmlns="http://schemas.openxmlformats.org/officeDocument/2006/custom-properties" xmlns:vt="http://schemas.openxmlformats.org/officeDocument/2006/docPropsVTypes"/>
</file>