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1D0C1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Loan Portfolio Performance &amp; Risk Analytics Report</w:t>
      </w:r>
    </w:p>
    <w:p w14:paraId="0C36A1EF">
      <w:pPr>
        <w:rPr>
          <w:rFonts w:hint="default"/>
          <w:b/>
          <w:bCs/>
          <w:sz w:val="36"/>
          <w:szCs w:val="36"/>
        </w:rPr>
      </w:pPr>
    </w:p>
    <w:p w14:paraId="24624E7D">
      <w:pPr>
        <w:numPr>
          <w:ilvl w:val="0"/>
          <w:numId w:val="1"/>
        </w:numPr>
        <w:rPr>
          <w:rFonts w:hint="default"/>
          <w:b/>
          <w:bCs/>
          <w:color w:val="0000FF"/>
          <w:sz w:val="24"/>
          <w:szCs w:val="24"/>
        </w:rPr>
      </w:pPr>
      <w:r>
        <w:rPr>
          <w:rFonts w:hint="default"/>
          <w:b/>
          <w:bCs/>
          <w:color w:val="0000FF"/>
          <w:sz w:val="24"/>
          <w:szCs w:val="24"/>
        </w:rPr>
        <w:t>Executive Summary</w:t>
      </w:r>
    </w:p>
    <w:p w14:paraId="0A8B7916">
      <w:pPr>
        <w:ind w:firstLine="600" w:firstLineChars="250"/>
        <w:rPr>
          <w:sz w:val="24"/>
          <w:szCs w:val="24"/>
        </w:rPr>
      </w:pPr>
      <w:r>
        <w:rPr>
          <w:rFonts w:hint="default"/>
          <w:sz w:val="24"/>
          <w:szCs w:val="24"/>
        </w:rPr>
        <w:t>This report analyzes a loan portfolio of 39,000+ individual loans to provide key insights into its performance, risk factors, and profitability.</w:t>
      </w:r>
    </w:p>
    <w:p w14:paraId="7F90F72A">
      <w:pPr>
        <w:ind w:firstLine="600" w:firstLineChars="25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analysis reveals a portfolio with a strong overall health, where 86.2% of loans are classified as 'Good' (Fully Paid or Current). However, the 'Bad' loans, which represent 13.8% of the portfolio and are charged off, account for a significant financial loss, recovering only a fraction of the original amount funded.</w:t>
      </w:r>
    </w:p>
    <w:p w14:paraId="79EA225A">
      <w:pPr>
        <w:ind w:firstLine="600" w:firstLineChars="25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Key drivers of risk identified include high Debt-to-Income (DTI) ratios, low credit grades (G, F, E), and longer loan terms (60 months). These factors are strongly correlated with higher charge-off rates. The report also uncovers significant geographic performance variations, with states like Nevada (NV) and Georgia (GA) showing elevated risk levels.</w:t>
      </w:r>
    </w:p>
    <w:p w14:paraId="2792E758">
      <w:pPr>
        <w:ind w:firstLine="600" w:firstLineChars="25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final net profit for the analyzed portfolio is calculated at $2.47 million, with a net profit margin of 11.86% on the total amount funded.</w:t>
      </w:r>
    </w:p>
    <w:p w14:paraId="538982D5"/>
    <w:p w14:paraId="4BF195B3">
      <w:pPr>
        <w:rPr>
          <w:b/>
          <w:bCs/>
          <w:color w:val="0000FF"/>
          <w:sz w:val="24"/>
          <w:szCs w:val="24"/>
        </w:rPr>
      </w:pPr>
      <w:r>
        <w:rPr>
          <w:rFonts w:hint="default"/>
          <w:b/>
          <w:bCs/>
          <w:color w:val="0000FF"/>
          <w:sz w:val="24"/>
          <w:szCs w:val="24"/>
        </w:rPr>
        <w:t>2. Portfolio Overview &amp; KPIs</w:t>
      </w:r>
    </w:p>
    <w:p w14:paraId="3C59E8BA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The initial analysis provides a high-level snapshot of the entire loan portfolio.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63"/>
        <w:gridCol w:w="2057"/>
      </w:tblGrid>
      <w:tr w14:paraId="0FC7B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CC6891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Key Performance Indicator (KPI)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98CCFF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Value</w:t>
            </w:r>
          </w:p>
        </w:tc>
      </w:tr>
      <w:tr w14:paraId="2C2A7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F83522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Total Loans in Portfolio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15FB2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39,294</w:t>
            </w:r>
          </w:p>
        </w:tc>
      </w:tr>
      <w:tr w14:paraId="096CD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55DE69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Total Amount Funded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D35DD6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$20,838,048</w:t>
            </w:r>
          </w:p>
        </w:tc>
      </w:tr>
      <w:tr w14:paraId="089AE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545D42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Total Amount Collected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2ABDD1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$23,334,992</w:t>
            </w:r>
          </w:p>
        </w:tc>
      </w:tr>
      <w:tr w14:paraId="7598D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7D5F0F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Average Interest Rate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899D1B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12.57%</w:t>
            </w:r>
          </w:p>
        </w:tc>
      </w:tr>
      <w:tr w14:paraId="00DB8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7EC7E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Average Debt-to-Income (DTI) Ratio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3525F2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13.33%</w:t>
            </w:r>
          </w:p>
        </w:tc>
      </w:tr>
      <w:tr w14:paraId="5B4E2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A9AB49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Good Loan Percentage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A0A60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86.18%</w:t>
            </w:r>
          </w:p>
        </w:tc>
      </w:tr>
      <w:tr w14:paraId="25BDA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A130F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Bad Loan (Charged Off) Percentage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D436FE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13.82%</w:t>
            </w:r>
          </w:p>
        </w:tc>
      </w:tr>
    </w:tbl>
    <w:p w14:paraId="6AA9B05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portfolio is performing well, but the 13.8% charge-off rate represents a considerable area of loss that needs to be managed.</w:t>
      </w:r>
    </w:p>
    <w:p w14:paraId="3D11CE16">
      <w:pPr>
        <w:rPr>
          <w:rFonts w:hint="default"/>
          <w:sz w:val="24"/>
          <w:szCs w:val="24"/>
        </w:rPr>
      </w:pPr>
    </w:p>
    <w:p w14:paraId="0243F950">
      <w:pPr>
        <w:rPr>
          <w:rFonts w:hint="default"/>
          <w:b/>
          <w:bCs/>
          <w:color w:val="0000FF"/>
          <w:sz w:val="24"/>
          <w:szCs w:val="24"/>
        </w:rPr>
      </w:pPr>
      <w:r>
        <w:rPr>
          <w:rFonts w:hint="default"/>
          <w:b/>
          <w:bCs/>
          <w:color w:val="0000FF"/>
          <w:sz w:val="24"/>
          <w:szCs w:val="24"/>
        </w:rPr>
        <w:t>3. Loan Status Deep Dive</w:t>
      </w:r>
    </w:p>
    <w:p w14:paraId="59F3A0B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performance varies drastically between loan statuses.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2"/>
        <w:gridCol w:w="1271"/>
        <w:gridCol w:w="1579"/>
        <w:gridCol w:w="1671"/>
        <w:gridCol w:w="1709"/>
        <w:gridCol w:w="1034"/>
      </w:tblGrid>
      <w:tr w14:paraId="06E03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5C1564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Loan Status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50739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Loan Count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A8207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Total Funded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90D89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Total Received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CF8B27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Avg. Interest Rate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C5C5C0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Avg. DTI</w:t>
            </w:r>
          </w:p>
        </w:tc>
      </w:tr>
      <w:tr w14:paraId="4BD9E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6BED0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Fully Paid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4B18DB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27,937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BCD29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$15,317,812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17DD2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$18,866,170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C13864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12.22%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28CBCB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12.98%</w:t>
            </w:r>
          </w:p>
        </w:tc>
      </w:tr>
      <w:tr w14:paraId="1AACB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961C6B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Current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B95A6F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5,932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0AB253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$3,009,753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729E0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$3,391,478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D132A7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13.24%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C18D4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13.97%</w:t>
            </w:r>
          </w:p>
        </w:tc>
      </w:tr>
      <w:tr w14:paraId="62887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4D6F7B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Charged Off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C75B74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5,425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2037D7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$2,510,483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97B60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$1,077,344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AD242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13.74%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ECD2D1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14.75%</w:t>
            </w:r>
          </w:p>
        </w:tc>
      </w:tr>
    </w:tbl>
    <w:p w14:paraId="36CF70BC">
      <w:pPr>
        <w:rPr>
          <w:rFonts w:hint="default"/>
          <w:sz w:val="24"/>
          <w:szCs w:val="24"/>
        </w:rPr>
      </w:pPr>
    </w:p>
    <w:p w14:paraId="389C0378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Fully Paid loans are the backbone of the portfolio, representing 71% of all loans and generating a significant return.</w:t>
      </w:r>
    </w:p>
    <w:p w14:paraId="5CF6EE03">
      <w:pPr>
        <w:rPr>
          <w:rFonts w:hint="default"/>
          <w:sz w:val="24"/>
          <w:szCs w:val="24"/>
        </w:rPr>
      </w:pPr>
    </w:p>
    <w:p w14:paraId="7BFDA61E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Charged Off loans, while only 14% of the total count, represent a severe loss, recovering only $1.08 million of the $2.51 million funded, a recovery rate of just 43%.</w:t>
      </w:r>
    </w:p>
    <w:p w14:paraId="54536EF5">
      <w:pPr>
        <w:rPr>
          <w:rFonts w:hint="default"/>
          <w:sz w:val="24"/>
          <w:szCs w:val="24"/>
        </w:rPr>
      </w:pPr>
    </w:p>
    <w:p w14:paraId="3C7C7301">
      <w:pPr>
        <w:rPr>
          <w:rFonts w:hint="default"/>
          <w:sz w:val="24"/>
          <w:szCs w:val="24"/>
        </w:rPr>
      </w:pPr>
    </w:p>
    <w:p w14:paraId="31B1078A">
      <w:pPr>
        <w:rPr>
          <w:b/>
          <w:bCs/>
          <w:color w:val="0000FF"/>
          <w:sz w:val="24"/>
          <w:szCs w:val="24"/>
        </w:rPr>
      </w:pPr>
      <w:r>
        <w:rPr>
          <w:rFonts w:hint="default"/>
          <w:b/>
          <w:bCs/>
          <w:color w:val="0000FF"/>
          <w:sz w:val="24"/>
          <w:szCs w:val="24"/>
        </w:rPr>
        <w:t>4. Risk Factor Analysis</w:t>
      </w:r>
    </w:p>
    <w:p w14:paraId="64747975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The following sections identify the key drivers of loan defaults.</w:t>
      </w:r>
    </w:p>
    <w:p w14:paraId="3A4E5D5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4.1. Impact of Debt-to-Income (DTI) Ratio</w:t>
      </w:r>
    </w:p>
    <w:p w14:paraId="2B5C223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 clear, positive correlation exists between a borrower's DTI and the likelihood of a charge-off.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30"/>
        <w:gridCol w:w="3390"/>
      </w:tblGrid>
      <w:tr w14:paraId="65192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973405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DTI Segment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556B6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Charge-Off Rate</w:t>
            </w:r>
          </w:p>
        </w:tc>
      </w:tr>
      <w:tr w14:paraId="28DCF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4CA605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Low DTI (&lt;10%)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EBCDD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10.19%</w:t>
            </w:r>
          </w:p>
        </w:tc>
      </w:tr>
      <w:tr w14:paraId="23515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E7942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Medium DTI (10-20%)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4A45A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14.35%</w:t>
            </w:r>
          </w:p>
        </w:tc>
      </w:tr>
      <w:tr w14:paraId="23C5A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274C0F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High DTI (20-30%)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E85A10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18.88%</w:t>
            </w:r>
          </w:p>
        </w:tc>
      </w:tr>
      <w:tr w14:paraId="51499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553CF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Very High DTI (&gt;30%)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88B33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24.78%</w:t>
            </w:r>
          </w:p>
        </w:tc>
      </w:tr>
    </w:tbl>
    <w:p w14:paraId="1059D76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Conclusion: Borrowers with a DTI exceeding 30% are 2.4 times more likely to default than those with a DTI below 10%. This is a critical risk indicator.</w:t>
      </w:r>
    </w:p>
    <w:p w14:paraId="6850AD5D">
      <w:pPr>
        <w:rPr>
          <w:rFonts w:hint="default"/>
          <w:sz w:val="24"/>
          <w:szCs w:val="24"/>
        </w:rPr>
      </w:pPr>
    </w:p>
    <w:p w14:paraId="58DADD7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4.2. Performance by Loan Grade</w:t>
      </w:r>
    </w:p>
    <w:p w14:paraId="692F606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Lower credit grades are directly linked to higher risk and higher interest rates, as expected.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6"/>
        <w:gridCol w:w="1431"/>
        <w:gridCol w:w="1884"/>
        <w:gridCol w:w="2059"/>
      </w:tblGrid>
      <w:tr w14:paraId="6E49E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662AAE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Grade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A9F0D6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Total Loans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B2ADF3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Charge-Off Rate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242A06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Avg. Interest Rate</w:t>
            </w:r>
          </w:p>
        </w:tc>
      </w:tr>
      <w:tr w14:paraId="4320F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0B335F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D7F741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6,627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6F88F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6.60%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76EA0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7.96%</w:t>
            </w:r>
          </w:p>
        </w:tc>
      </w:tr>
      <w:tr w14:paraId="25F6B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DC6BE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B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E9C986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9,311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292B1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10.89%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53D179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11.48%</w:t>
            </w:r>
          </w:p>
        </w:tc>
      </w:tr>
      <w:tr w14:paraId="4DFBB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5AB7C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B0A7B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7,081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868356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16.42%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91B8E5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13.99%</w:t>
            </w:r>
          </w:p>
        </w:tc>
      </w:tr>
      <w:tr w14:paraId="4C0E8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63E616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88B359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3,619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A2D297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21.14%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794D10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15.51%</w:t>
            </w:r>
          </w:p>
        </w:tc>
      </w:tr>
      <w:tr w14:paraId="6F14E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006E22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E498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1,348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2B25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27.15%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58F52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17.33%</w:t>
            </w:r>
          </w:p>
        </w:tc>
      </w:tr>
      <w:tr w14:paraId="6712B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9D8A1B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F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63B7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242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ED674E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26.03%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3C96D9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18.87%</w:t>
            </w:r>
          </w:p>
        </w:tc>
      </w:tr>
      <w:tr w14:paraId="0A05A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762B05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345A8B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66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9A12A9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34.85%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021A55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21.36%</w:t>
            </w:r>
          </w:p>
        </w:tc>
      </w:tr>
    </w:tbl>
    <w:p w14:paraId="11F665E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Conclusion: The data validates the grading system. Loans in grades E, F, and G constitute a high-risk segment with charge-off rates exceeding 25%. While they offer higher interest, the risk of loss is substantial.</w:t>
      </w:r>
    </w:p>
    <w:p w14:paraId="1EC10828">
      <w:pPr>
        <w:rPr>
          <w:rFonts w:hint="default"/>
          <w:sz w:val="24"/>
          <w:szCs w:val="24"/>
        </w:rPr>
      </w:pPr>
    </w:p>
    <w:p w14:paraId="55B41635">
      <w:pPr>
        <w:rPr>
          <w:rFonts w:hint="default"/>
          <w:sz w:val="24"/>
          <w:szCs w:val="24"/>
        </w:rPr>
      </w:pPr>
    </w:p>
    <w:p w14:paraId="3CD2C91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4.3. Term Length Analysis</w:t>
      </w:r>
    </w:p>
    <w:p w14:paraId="5ACF17B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Longer-term loans (60 months) show significantly worse performance.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3"/>
        <w:gridCol w:w="2108"/>
        <w:gridCol w:w="1884"/>
        <w:gridCol w:w="2059"/>
      </w:tblGrid>
      <w:tr w14:paraId="7D078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7C663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60B899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Avg. Loan Amount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AB3F33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Charge-Off Rate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D3A16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Avg. Interest Rate</w:t>
            </w:r>
          </w:p>
        </w:tc>
      </w:tr>
      <w:tr w14:paraId="5D581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FB266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36 months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5B445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$9,215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58CF4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11.31%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A3440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12.15%</w:t>
            </w:r>
          </w:p>
        </w:tc>
      </w:tr>
      <w:tr w14:paraId="5CE2D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19CFA4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60 months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F0D5F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$16,000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3B3BB6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21.74%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71A3CF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13.86%</w:t>
            </w:r>
          </w:p>
        </w:tc>
      </w:tr>
    </w:tbl>
    <w:p w14:paraId="4381C16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Conclusion: 60-month loans are riskier. They are for larger amounts and have a charge-off rate nearly double that of 36-month loans.</w:t>
      </w:r>
    </w:p>
    <w:p w14:paraId="2C057227"/>
    <w:p w14:paraId="6119C18D">
      <w:pPr>
        <w:numPr>
          <w:ilvl w:val="0"/>
          <w:numId w:val="3"/>
        </w:numPr>
        <w:rPr>
          <w:rFonts w:hint="default"/>
          <w:sz w:val="24"/>
          <w:szCs w:val="24"/>
        </w:rPr>
      </w:pPr>
      <w:r>
        <w:rPr>
          <w:rFonts w:hint="default"/>
          <w:b/>
          <w:bCs/>
          <w:color w:val="0000FF"/>
          <w:sz w:val="24"/>
          <w:szCs w:val="24"/>
        </w:rPr>
        <w:t>Geographic and Demographic Performance</w:t>
      </w:r>
    </w:p>
    <w:p w14:paraId="0C1F35BA">
      <w:pPr>
        <w:numPr>
          <w:ilvl w:val="1"/>
          <w:numId w:val="3"/>
        </w:num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Highest Risk States (with &gt;50 loans)</w:t>
      </w:r>
    </w:p>
    <w:p w14:paraId="55CF2A01">
      <w:pPr>
        <w:numPr>
          <w:numId w:val="0"/>
        </w:numPr>
        <w:ind w:leftChars="0"/>
        <w:rPr>
          <w:rFonts w:hint="default"/>
          <w:sz w:val="24"/>
          <w:szCs w:val="24"/>
        </w:rPr>
      </w:pPr>
      <w:bookmarkStart w:id="0" w:name="_GoBack"/>
      <w:bookmarkEnd w:id="0"/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5"/>
        <w:gridCol w:w="4295"/>
      </w:tblGrid>
      <w:tr w14:paraId="04FBF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0B83D4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8B8925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Charge-Off Rate</w:t>
            </w:r>
          </w:p>
        </w:tc>
      </w:tr>
      <w:tr w14:paraId="5C8B6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20AB29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Nevada (NV)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AFC87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20.29%</w:t>
            </w:r>
          </w:p>
        </w:tc>
      </w:tr>
      <w:tr w14:paraId="3EFC4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8A4DE4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Georgia (GA)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63262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17.52%</w:t>
            </w:r>
          </w:p>
        </w:tc>
      </w:tr>
      <w:tr w14:paraId="002BE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408D34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Florida (FL)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25FC2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17.07%</w:t>
            </w:r>
          </w:p>
        </w:tc>
      </w:tr>
      <w:tr w14:paraId="7267C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C77E77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Texas (TX)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FE6077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15.58%</w:t>
            </w:r>
          </w:p>
        </w:tc>
      </w:tr>
      <w:tr w14:paraId="3AF5F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3F5DE3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Arizona (AZ)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9505D5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15.56%</w:t>
            </w:r>
          </w:p>
        </w:tc>
      </w:tr>
    </w:tbl>
    <w:p w14:paraId="44688796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Conclusion: Certain states, particularly Nevada, exhibit significantly higher default rates, suggesting localized economic factors or underwriting practices should be reviewed.</w:t>
      </w:r>
    </w:p>
    <w:p w14:paraId="21B24075">
      <w:pPr>
        <w:rPr>
          <w:rFonts w:hint="default"/>
          <w:sz w:val="24"/>
          <w:szCs w:val="24"/>
        </w:rPr>
      </w:pPr>
    </w:p>
    <w:p w14:paraId="0A7E8E7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5.2. Impact of Home Ownership</w:t>
      </w:r>
    </w:p>
    <w:p w14:paraId="37450107">
      <w:pPr>
        <w:rPr>
          <w:sz w:val="24"/>
          <w:szCs w:val="24"/>
        </w:rPr>
      </w:pPr>
    </w:p>
    <w:p w14:paraId="0861D029">
      <w:pPr>
        <w:numPr>
          <w:ilvl w:val="0"/>
          <w:numId w:val="2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Renters have the highest charge-off rate at 15.57% and the highest average DTI (14.34%).</w:t>
      </w:r>
    </w:p>
    <w:p w14:paraId="430029EB">
      <w:pPr>
        <w:numPr>
          <w:ilvl w:val="0"/>
          <w:numId w:val="2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Homeowners (MORTGAGE/OWN) have lower charge-off rates (11.86% / 13.23%) and higher average annual incomes.</w:t>
      </w:r>
    </w:p>
    <w:p w14:paraId="5916DB79">
      <w:pPr>
        <w:rPr>
          <w:sz w:val="24"/>
          <w:szCs w:val="24"/>
        </w:rPr>
      </w:pPr>
    </w:p>
    <w:p w14:paraId="3CA7269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Conclusion: Renters represent a riskier segment of the borrower population.</w:t>
      </w:r>
    </w:p>
    <w:p w14:paraId="7138AE82">
      <w:pPr>
        <w:rPr>
          <w:rFonts w:hint="default"/>
          <w:sz w:val="24"/>
          <w:szCs w:val="24"/>
        </w:rPr>
      </w:pPr>
    </w:p>
    <w:p w14:paraId="6A142A9B">
      <w:pPr>
        <w:rPr>
          <w:b/>
          <w:bCs/>
          <w:color w:val="0000FF"/>
          <w:sz w:val="24"/>
          <w:szCs w:val="24"/>
        </w:rPr>
      </w:pPr>
      <w:r>
        <w:rPr>
          <w:rFonts w:hint="default"/>
          <w:b/>
          <w:bCs/>
          <w:color w:val="0000FF"/>
          <w:sz w:val="24"/>
          <w:szCs w:val="24"/>
        </w:rPr>
        <w:t>6. Profitability Analysis</w:t>
      </w:r>
    </w:p>
    <w:p w14:paraId="33C42AEB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After accounting for losses from charged-off loans, the portfolio's net profitability is as follows: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6"/>
        <w:gridCol w:w="1467"/>
        <w:gridCol w:w="2477"/>
        <w:gridCol w:w="1413"/>
        <w:gridCol w:w="2025"/>
      </w:tblGrid>
      <w:tr w14:paraId="32D0B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C4C67B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Grade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52C4A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Gross Profit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F6B577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Loss from Charge-Offs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A4F4A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Net Profit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670D7F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Net Profit Margin</w:t>
            </w:r>
          </w:p>
        </w:tc>
      </w:tr>
      <w:tr w14:paraId="640E9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D4FA5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654481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$2,610,928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3E69C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-$299,849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48D531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$2,311,079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C761A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17.72%</w:t>
            </w:r>
          </w:p>
        </w:tc>
      </w:tr>
      <w:tr w14:paraId="3F839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33D7A9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B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8F9C0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$4,540,442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07D603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-$885,351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D9AAD2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$3,655,091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2DF1A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13.88%</w:t>
            </w:r>
          </w:p>
        </w:tc>
      </w:tr>
      <w:tr w14:paraId="4A78B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A0D2B5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CDC5B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$3,435,301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490397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-$1,157,209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D8B5E6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$2,278,092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53F111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10.21%</w:t>
            </w:r>
          </w:p>
        </w:tc>
      </w:tr>
      <w:tr w14:paraId="7AFF3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11979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3C4720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$1,555,822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A4599E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-$818,312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ACDC90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$737,510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1765E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6.09%</w:t>
            </w:r>
          </w:p>
        </w:tc>
      </w:tr>
      <w:tr w14:paraId="488AE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CF55F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21A273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$515,823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62232B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-$345,833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3C4C5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$170,190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5CB39E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4.84%</w:t>
            </w:r>
          </w:p>
        </w:tc>
      </w:tr>
      <w:tr w14:paraId="5A1D1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70F19E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F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A3634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$90,258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06698B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-$71,973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85375E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$18,285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8A85E0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3.39%</w:t>
            </w:r>
          </w:p>
        </w:tc>
      </w:tr>
      <w:tr w14:paraId="23EF5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828B8B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904373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$16,272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82FDA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-$19,314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B2EB24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-$3,042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C65C71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-2.02%</w:t>
            </w:r>
          </w:p>
        </w:tc>
      </w:tr>
    </w:tbl>
    <w:p w14:paraId="344DDB6A">
      <w:pPr>
        <w:rPr>
          <w:sz w:val="24"/>
          <w:szCs w:val="24"/>
        </w:rPr>
      </w:pPr>
    </w:p>
    <w:p w14:paraId="2F200811">
      <w:pPr>
        <w:numPr>
          <w:ilvl w:val="0"/>
          <w:numId w:val="2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The total Net Profit across the portfolio is $9,167,205.</w:t>
      </w:r>
    </w:p>
    <w:p w14:paraId="0FE41C8B">
      <w:pPr>
        <w:numPr>
          <w:ilvl w:val="0"/>
          <w:numId w:val="2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The portfolio-level Net Profit Margin is 11.86%.</w:t>
      </w:r>
    </w:p>
    <w:p w14:paraId="06D44C16">
      <w:pPr>
        <w:numPr>
          <w:ilvl w:val="0"/>
          <w:numId w:val="2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Grade A loans are the most profitable, generating high returns with minimal losses.</w:t>
      </w:r>
    </w:p>
    <w:p w14:paraId="6A64F702">
      <w:pPr>
        <w:numPr>
          <w:ilvl w:val="0"/>
          <w:numId w:val="2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Grades F and G are either barely profitable or operate at a net loss, destroying value despite their high interest rates.</w:t>
      </w:r>
    </w:p>
    <w:p w14:paraId="239EF990">
      <w:pPr>
        <w:rPr>
          <w:sz w:val="24"/>
          <w:szCs w:val="24"/>
        </w:rPr>
      </w:pPr>
    </w:p>
    <w:p w14:paraId="2A2B8ACE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0B691A"/>
    <w:multiLevelType w:val="multilevel"/>
    <w:tmpl w:val="BE0B691A"/>
    <w:lvl w:ilvl="0" w:tentative="0">
      <w:start w:val="5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2FE9876A"/>
    <w:multiLevelType w:val="singleLevel"/>
    <w:tmpl w:val="2FE9876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DA449C0"/>
    <w:multiLevelType w:val="singleLevel"/>
    <w:tmpl w:val="4DA449C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FB3A45"/>
    <w:rsid w:val="16FB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2026-04-18T03:34:00Z</dcterms:created>
  <dc:creator>User</dc:creator>
  <cp:lastModifiedBy>HninYu</cp:lastModifiedBy>
  <dcterms:modified xsi:type="dcterms:W3CDTF">2026-04-18T03:59:45Z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B18E4124364E45F68EEC3742CB0DD284_11</vt:lpwstr>
  </property>
  <property fmtid="{D5CDD505-2E9C-101B-9397-08002B2CF9AE}" pid="4" name="KSOTemplateDocerSaveRecord">
    <vt:lpwstr>eyJoZGlkIjoiZTQ3OWUzNDUzNWE0NzIyYWJmNTlhMzU1MTAzYmNjZDkiLCJ1c2VySWQiOiIzNDM3NzU1MjEwMTI3OCJ9</vt:lpwstr>
  </property>
</Properties>
</file>