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ind w:firstLine="27" w:end="0"/>
        <w:jc w:val="center"/>
        <w:outlineLvl w:val="1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ru-RU"/>
        </w:rPr>
        <w:t>ДОНСКОЙ ГОСУДАРСТВЕННЫЙ</w:t>
      </w:r>
    </w:p>
    <w:p>
      <w:pPr>
        <w:pStyle w:val="Normal"/>
        <w:keepNext w:val="true"/>
        <w:numPr>
          <w:ilvl w:val="0"/>
          <w:numId w:val="0"/>
        </w:numPr>
        <w:spacing w:lineRule="auto" w:line="408"/>
        <w:jc w:val="center"/>
        <w:outlineLvl w:val="8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ru-RU"/>
        </w:rPr>
        <w:t>ТЕХНИЧЕСКИЙ УНИВЕРСИТЕТ</w:t>
      </w:r>
    </w:p>
    <w:p>
      <w:pPr>
        <w:pStyle w:val="Normal"/>
        <w:rPr/>
      </w:pPr>
      <w:r>
        <w:rPr>
          <w:b/>
          <w:spacing w:val="40"/>
          <w:sz w:val="40"/>
          <w:szCs w:val="40"/>
          <w:lang w:val="ru-RU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ИНСТИТУТ ВОЕННОГО ОБРАЗОВАНИЯ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 xml:space="preserve">Занятие №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Материальная часть стрелкового оружия и ручных 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>осколочных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3888" w:leader="none"/>
        </w:tabs>
        <w:ind w:start="567" w:end="0"/>
        <w:outlineLvl w:val="4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rPr/>
      </w:pPr>
      <w:r>
        <w:rPr>
          <w:b/>
          <w:sz w:val="28"/>
          <w:szCs w:val="28"/>
          <w:lang w:val="ru-RU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ind w:start="40" w:end="0"/>
        <w:jc w:val="center"/>
        <w:rPr>
          <w:b/>
          <w:bCs/>
          <w:sz w:val="28"/>
          <w:szCs w:val="28"/>
        </w:rPr>
      </w:pPr>
      <w:r>
        <w:rPr>
          <w:rFonts w:cs="Courier New" w:ascii="Courier New" w:hAnsi="Courier New"/>
          <w:b/>
          <w:bCs/>
          <w:sz w:val="28"/>
          <w:szCs w:val="28"/>
        </w:rPr>
      </w:r>
    </w:p>
    <w:p>
      <w:pPr>
        <w:pStyle w:val="Normal"/>
        <w:ind w:start="40" w:end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  <w:lang w:val="ru-RU"/>
        </w:rPr>
        <w:t xml:space="preserve"> г.</w:t>
      </w:r>
      <w:r>
        <w:rPr>
          <w:b/>
          <w:sz w:val="28"/>
          <w:szCs w:val="28"/>
        </w:rPr>
        <w:t xml:space="preserve">                      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Начальник кафедры основы военной подготовки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полковник запаса 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>Занятие №</w:t>
      </w:r>
      <w:r>
        <w:rPr>
          <w:b/>
          <w:bCs/>
          <w:sz w:val="28"/>
          <w:szCs w:val="28"/>
        </w:rPr>
        <w:t xml:space="preserve"> 4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Материальная часть стрелкового оружия и ручных 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>осколочных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 xml:space="preserve">кафедры основы военной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подготовки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</w:t>
      </w:r>
      <w:r>
        <w:rPr>
          <w:sz w:val="28"/>
          <w:szCs w:val="28"/>
          <w:u w:val="single"/>
        </w:rPr>
        <w:t xml:space="preserve">  _</w:t>
      </w:r>
      <w:r>
        <w:rPr>
          <w:sz w:val="28"/>
          <w:szCs w:val="28"/>
        </w:rPr>
        <w:t>г.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2023 г.</w:t>
      </w:r>
    </w:p>
    <w:p>
      <w:pPr>
        <w:pStyle w:val="Normal"/>
        <w:ind w:start="-284" w:end="0"/>
        <w:jc w:val="center"/>
        <w:rPr>
          <w:b/>
          <w:bCs/>
          <w:caps/>
          <w:sz w:val="28"/>
          <w:szCs w:val="31"/>
        </w:rPr>
      </w:pPr>
      <w:r>
        <w:rPr>
          <w:iCs/>
          <w:sz w:val="28"/>
        </w:rPr>
        <w:t xml:space="preserve">      </w:t>
      </w:r>
      <w:r>
        <w:rPr>
          <w:b/>
          <w:bCs/>
          <w:sz w:val="28"/>
          <w:szCs w:val="31"/>
        </w:rPr>
        <w:t>Учебные и воспитательные цели: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Изучить назначение и общее устройство стрелкового оружия и ручных осколочных гранат.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z w:val="28"/>
        </w:rPr>
        <w:t>Дать понятие о боевых характеристиках стрелкового оружия и ручных осколочных гранат.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Воспитывать у студентов высокие морально-боевые качества, любовь к своему оружию, умение владеть им в совершенстве, ответственность при обращении с оружием и боеприпасами</w:t>
      </w:r>
      <w:r>
        <w:rPr>
          <w:sz w:val="28"/>
        </w:rPr>
        <w:t>.</w:t>
      </w:r>
    </w:p>
    <w:p>
      <w:pPr>
        <w:pStyle w:val="24"/>
        <w:suppressAutoHyphens w:val="true"/>
        <w:spacing w:lineRule="auto" w:line="240"/>
        <w:ind w:hanging="0" w:start="426" w:end="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Место проведения: </w:t>
      </w:r>
    </w:p>
    <w:p>
      <w:pPr>
        <w:pStyle w:val="Normal"/>
        <w:shd w:fill="FFFFFF" w:val="clear"/>
        <w:suppressAutoHyphens w:val="true"/>
        <w:ind w:hanging="11" w:start="11" w:end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Учебная аудитория.</w:t>
      </w:r>
    </w:p>
    <w:p>
      <w:pPr>
        <w:pStyle w:val="Normal"/>
        <w:shd w:fill="FFFFFF" w:val="clear"/>
        <w:suppressAutoHyphens w:val="true"/>
        <w:ind w:hanging="11" w:start="11" w:end="0"/>
        <w:rPr>
          <w:sz w:val="28"/>
          <w:szCs w:val="31"/>
        </w:rPr>
      </w:pPr>
      <w:r>
        <w:rPr>
          <w:sz w:val="28"/>
          <w:szCs w:val="31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sz w:val="28"/>
          <w:szCs w:val="31"/>
        </w:rPr>
      </w:pPr>
      <w:r>
        <w:rPr/>
        <w:t>Распределение учебного времени: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Учебные вопросы (основная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283" w:start="567" w:end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Назначение и боевые свойства ручных наступательных, оборонительных и противотанковых гранат.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283" w:start="567" w:end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Устройство гранат. Работа частей и механизмов гранат.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283" w:start="567" w:end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Подготовка ручных гранат к боевому применению.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4"/>
              <w:suppressAutoHyphens w:val="true"/>
              <w:spacing w:lineRule="auto" w:line="240"/>
              <w:ind w:hanging="425" w:start="567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Требования безопасности при обращении с ручными гранатами.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мин</w:t>
            </w:r>
          </w:p>
        </w:tc>
      </w:tr>
    </w:tbl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sz w:val="28"/>
          <w:szCs w:val="31"/>
        </w:rPr>
      </w:pPr>
      <w:r>
        <w:rPr>
          <w:b/>
          <w:bCs/>
          <w:sz w:val="28"/>
          <w:szCs w:val="31"/>
        </w:rPr>
      </w:r>
    </w:p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sz w:val="28"/>
          <w:szCs w:val="31"/>
        </w:rPr>
      </w:pPr>
      <w:r>
        <w:rPr>
          <w:b/>
          <w:bCs/>
          <w:sz w:val="28"/>
          <w:szCs w:val="31"/>
        </w:rPr>
      </w:r>
    </w:p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sz w:val="28"/>
          <w:szCs w:val="31"/>
        </w:rPr>
      </w:pPr>
      <w:r>
        <w:rPr>
          <w:b/>
          <w:bCs/>
          <w:sz w:val="28"/>
          <w:szCs w:val="31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bCs/>
          <w:caps/>
          <w:sz w:val="28"/>
          <w:szCs w:val="31"/>
        </w:rPr>
      </w:pPr>
      <w:r>
        <w:rPr>
          <w:b/>
          <w:bCs/>
          <w:sz w:val="28"/>
          <w:szCs w:val="31"/>
        </w:rPr>
        <w:t>Учебно-материальное обеспечение: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1. Презентация.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2. Персональный компьютер.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3. Мультимедийный проектор.</w:t>
      </w:r>
    </w:p>
    <w:p>
      <w:pPr>
        <w:pStyle w:val="Normal"/>
        <w:suppressAutoHyphens w:val="true"/>
        <w:jc w:val="both"/>
        <w:rPr>
          <w:sz w:val="28"/>
        </w:rPr>
      </w:pPr>
      <w:r>
        <w:rPr>
          <w:sz w:val="28"/>
          <w:szCs w:val="28"/>
        </w:rPr>
        <w:t>4. Учебный ПМ.</w:t>
      </w:r>
    </w:p>
    <w:p>
      <w:pPr>
        <w:pStyle w:val="Normal"/>
        <w:suppressAutoHyphens w:val="true"/>
        <w:jc w:val="center"/>
        <w:rPr>
          <w:b/>
          <w:caps/>
          <w:color w:val="0070C0"/>
          <w:sz w:val="28"/>
          <w:szCs w:val="28"/>
        </w:rPr>
      </w:pPr>
      <w:r>
        <w:rPr>
          <w:b/>
          <w:caps/>
          <w:color w:val="0070C0"/>
          <w:sz w:val="28"/>
          <w:szCs w:val="28"/>
        </w:rPr>
      </w:r>
    </w:p>
    <w:p>
      <w:pPr>
        <w:pStyle w:val="Normal"/>
        <w:numPr>
          <w:ilvl w:val="0"/>
          <w:numId w:val="5"/>
        </w:numPr>
        <w:suppressAutoHyphens w:val="true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  <w:r>
        <w:rPr>
          <w:b/>
          <w:bCs/>
          <w:caps/>
          <w:sz w:val="28"/>
          <w:szCs w:val="28"/>
        </w:rPr>
        <w:t xml:space="preserve">: 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Основная:</w:t>
      </w:r>
    </w:p>
    <w:p>
      <w:pPr>
        <w:pStyle w:val="Style13"/>
        <w:widowControl w:val="false"/>
        <w:autoSpaceDE w:val="false"/>
        <w:spacing w:lineRule="auto" w:line="240" w:before="0" w:after="0"/>
        <w:ind w:firstLine="360" w:start="360" w:end="0"/>
        <w:contextualSpacing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</w:r>
      <w:r>
        <w:rPr>
          <w:rFonts w:cs="Times New Roman" w:ascii="Times New Roman" w:hAnsi="Times New Roman"/>
          <w:b/>
          <w:sz w:val="28"/>
          <w:szCs w:val="28"/>
        </w:rPr>
        <w:t xml:space="preserve">Микрюков В.Ю. </w:t>
      </w:r>
      <w:r>
        <w:rPr>
          <w:rFonts w:cs="Times New Roman" w:ascii="Times New Roman" w:hAnsi="Times New Roman"/>
          <w:sz w:val="28"/>
          <w:szCs w:val="28"/>
        </w:rPr>
        <w:t>Общевоенная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подготовка: учебник – М.: </w:t>
      </w:r>
      <w:r>
        <w:rPr>
          <w:rFonts w:cs="Times New Roman" w:ascii="Times New Roman" w:hAnsi="Times New Roman"/>
          <w:spacing w:val="-8"/>
          <w:sz w:val="28"/>
          <w:szCs w:val="28"/>
        </w:rPr>
        <w:t>ООО «Издательство КноРус»</w:t>
      </w:r>
      <w:r>
        <w:rPr>
          <w:rFonts w:cs="Times New Roman" w:ascii="Times New Roman" w:hAnsi="Times New Roman"/>
          <w:sz w:val="28"/>
          <w:szCs w:val="28"/>
        </w:rPr>
        <w:t>, 2023г. – с. 125-133.</w:t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r>
        <w:rPr>
          <w:rFonts w:cs="Times New Roman" w:ascii="Times New Roman" w:hAnsi="Times New Roman"/>
          <w:b/>
          <w:sz w:val="28"/>
          <w:szCs w:val="28"/>
        </w:rPr>
        <w:t xml:space="preserve">Шульдешов Л.С., Радионов ВА.А., Углянский В.В. </w:t>
      </w:r>
      <w:r>
        <w:rPr>
          <w:rFonts w:cs="Times New Roman" w:ascii="Times New Roman" w:hAnsi="Times New Roman"/>
          <w:sz w:val="28"/>
          <w:szCs w:val="28"/>
        </w:rPr>
        <w:t xml:space="preserve">Огневая подготовка: учебник - </w:t>
      </w:r>
      <w:r>
        <w:rPr>
          <w:rFonts w:cs="Times New Roman" w:ascii="Times New Roman" w:hAnsi="Times New Roman"/>
          <w:spacing w:val="-8"/>
          <w:sz w:val="28"/>
          <w:szCs w:val="28"/>
        </w:rPr>
        <w:t>«Издательство КноРус»</w:t>
      </w:r>
      <w:r>
        <w:rPr>
          <w:rFonts w:cs="Times New Roman" w:ascii="Times New Roman" w:hAnsi="Times New Roman"/>
          <w:sz w:val="28"/>
          <w:szCs w:val="28"/>
        </w:rPr>
        <w:t>, 2023г. – с. 97-109.</w:t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start="0"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rFonts w:cs="Times New Roman"/>
          <w:color w:val="0070C0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hanging="1246" w:start="1204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Огневая подготовка – один из основных предметов боевой подготовки и составная часть полевой выучки подразделений. Его цель –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задач.</w:t>
      </w:r>
    </w:p>
    <w:p>
      <w:pPr>
        <w:pStyle w:val="24"/>
        <w:suppressAutoHyphens w:val="true"/>
        <w:spacing w:lineRule="auto" w:line="240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Вопрос № 1. Назначение и боевые свойства ручных наступательных, оборонительных и противотанковых гранат.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Граната (</w:t>
      </w:r>
      <w:r>
        <w:rPr>
          <w:color w:val="000000"/>
          <w:sz w:val="28"/>
          <w:szCs w:val="28"/>
        </w:rPr>
        <w:t>от итальянского granata - зернистый) - боеприпас для поражения живой силы и военной техники противника в ближнем бою.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Первые гранаты появились в 16 веке и применялись при осаде и защите крепостей, а с 17 века - и в полевом бою. Для их метания назначались отборные солдаты - гренадеры. Ручные противотанковые гранаты с кумулятивной боевой частью появились в годы второй мировой войны.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Гранаты подразделяются: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а) по способу применения: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ручные гранаты;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гранаты для стрельбы из гранатометов (гранатометные выстрелы, в том числе винтовочные гранаты).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б) по назначению: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противотанковые;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противопехотные;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зажигательные;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дымовые;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осветительные;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сигнальные;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учебные и другие.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Ручная оборонительная граната Ф-1 («лимонка»)</w:t>
      </w:r>
      <w:r>
        <w:rPr>
          <w:color w:val="000000"/>
          <w:sz w:val="28"/>
          <w:szCs w:val="28"/>
        </w:rPr>
        <w:t> была разработана на основе французской осколочной гранаты F-1 модели 1915 г., отсюда обозначение Ф-1. Эту гранату не следует путать с современной французской моделью F1 с пластиковым корпусом и полуготовыми осколками и английской гранаты системы Лемона (с терочным запалом), поставлявшейся в Россию в годы первой мировой войны. На вооружение РККА граната Ф-1 принята с дистанционным взрывателем (запалом) Ковешникова. С 1941 г. вместо запала Ковешникова в гранате Ф-1 стал применяться более простой в изготовлении и обращении запал УЗРГ системы Е.М. Вицени.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Ручные осколочные гранаты РГН (наступательная</w:t>
      </w:r>
      <w:r>
        <w:rPr>
          <w:color w:val="000000"/>
          <w:sz w:val="28"/>
          <w:szCs w:val="28"/>
        </w:rPr>
        <w:t>) </w:t>
      </w:r>
      <w:r>
        <w:rPr>
          <w:b/>
          <w:bCs/>
          <w:color w:val="000000"/>
          <w:sz w:val="28"/>
          <w:szCs w:val="28"/>
        </w:rPr>
        <w:t>и РГО (оборонительная</w:t>
      </w:r>
      <w:r>
        <w:rPr>
          <w:color w:val="000000"/>
          <w:sz w:val="28"/>
          <w:szCs w:val="28"/>
        </w:rPr>
        <w:t>) разработаны на предприятии «Базальт» в конце 1970-х годов. Существенное отличие этих гранат от аналогичных образцов заключается в оснащении их датчиком цели и срабатывании их при ударе о любую преграду.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последнее время на вооружение поступают гранаты РГО (оборонительная весом 530 г) и РГН (наступательная весом 310 г) с запалами ударного действия и самоликвидацией через 3.2-4.2 сек. Кроме того, эти гранаты имеют улучшенные характеристики поражающего действия: РГО образует 600-700 осколков со скоростью разлета 1600 м/с.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Осколки трудноразделенные, вес осколка 0.42 г, осколки составляют 73 % корпуса (Ф-1 составляет 38 % корпуса со скоростью разлета 730 м/с).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РГН образует 230 осколков весом 0.42 г со скоростью разлета 1200 м/с.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Ручные осколочные гранаты предназначаются</w:t>
      </w:r>
      <w:r>
        <w:rPr>
          <w:color w:val="000000"/>
          <w:sz w:val="28"/>
          <w:szCs w:val="28"/>
        </w:rPr>
        <w:t> для поражения осколками живой силы противника в ближнем бою (при атаке, в окопах, убежищах, в населенных пунктах, в лесу, горах т.п.).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зависимости от дальности разлета осколков гранаты делятся на: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 w:eastAsia="ru-RU"/>
        </w:rPr>
        <w:drawing>
          <wp:anchor distT="0" distB="0" distL="114935" distR="114935" simplePos="0" relativeHeight="16" behindDoc="1" locked="0" layoutInCell="0" allowOverlap="1">
            <wp:simplePos x="0" y="0"/>
            <wp:positionH relativeFrom="column">
              <wp:posOffset>1689100</wp:posOffset>
            </wp:positionH>
            <wp:positionV relativeFrom="paragraph">
              <wp:posOffset>635</wp:posOffset>
            </wp:positionV>
            <wp:extent cx="2872740" cy="1604645"/>
            <wp:effectExtent l="0" t="0" r="0" b="0"/>
            <wp:wrapTight wrapText="bothSides">
              <wp:wrapPolygon edited="0">
                <wp:start x="17770" y="12900"/>
                <wp:lineTo x="17770" y="11410"/>
                <wp:lineTo x="15665" y="11410"/>
                <wp:lineTo x="15665" y="12900"/>
                <wp:lineTo x="17770" y="12900"/>
              </wp:wrapPolygon>
            </wp:wrapTight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2007" t="33061" r="10675" b="2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60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 w:eastAsia="ru-RU"/>
        </w:rPr>
        <w:drawing>
          <wp:anchor distT="0" distB="0" distL="114935" distR="114935" simplePos="0" relativeHeight="17" behindDoc="1" locked="0" layoutInCell="0" allowOverlap="1">
            <wp:simplePos x="0" y="0"/>
            <wp:positionH relativeFrom="column">
              <wp:posOffset>1440180</wp:posOffset>
            </wp:positionH>
            <wp:positionV relativeFrom="paragraph">
              <wp:posOffset>92710</wp:posOffset>
            </wp:positionV>
            <wp:extent cx="3761105" cy="1551305"/>
            <wp:effectExtent l="0" t="0" r="0" b="0"/>
            <wp:wrapTight wrapText="bothSides">
              <wp:wrapPolygon edited="0">
                <wp:start x="22896" y="9218"/>
                <wp:lineTo x="22896" y="7503"/>
                <wp:lineTo x="20143" y="7503"/>
                <wp:lineTo x="20143" y="9218"/>
                <wp:lineTo x="22896" y="9218"/>
              </wp:wrapPolygon>
            </wp:wrapTight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1398" t="20315" r="1989" b="3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Гранаты РГД-5, РГН, РГО, Ф-1 безотказно взрываются при падении в грязь, снег, воду и т.п. При разрыве образуется большое количество осколков, разлетающихся в разные стороны.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rPr>
          <w:rFonts w:ascii="Times New Roman" w:hAnsi="Times New Roman" w:cs="Times New Roman"/>
          <w:b w:val="false"/>
          <w:bCs/>
          <w:color w:val="000000"/>
          <w:szCs w:val="28"/>
          <w:lang w:val="ru-RU"/>
        </w:rPr>
      </w:pPr>
      <w:r>
        <w:rPr>
          <w:rFonts w:cs="Times New Roman" w:ascii="Times New Roman" w:hAnsi="Times New Roman"/>
          <w:b w:val="false"/>
          <w:bCs/>
          <w:color w:val="000000"/>
          <w:szCs w:val="28"/>
        </w:rPr>
        <w:t>Боевые свойства гранат:</w:t>
      </w:r>
    </w:p>
    <w:p>
      <w:pPr>
        <w:pStyle w:val="Normal"/>
        <w:rPr/>
      </w:pPr>
      <w:r>
        <w:rPr>
          <w:rFonts w:cs="Times New Roman"/>
          <w:b/>
          <w:bCs/>
          <w:color w:val="000000"/>
          <w:szCs w:val="28"/>
          <w:lang w:val="ru-RU"/>
        </w:rPr>
      </w:r>
    </w:p>
    <w:tbl>
      <w:tblPr>
        <w:tblW w:w="9540" w:type="dxa"/>
        <w:jc w:val="center"/>
        <w:tblInd w:w="0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3390"/>
        <w:gridCol w:w="1130"/>
        <w:gridCol w:w="1162"/>
        <w:gridCol w:w="1356"/>
        <w:gridCol w:w="1162"/>
        <w:gridCol w:w="1340"/>
      </w:tblGrid>
      <w:tr>
        <w:trPr>
          <w:trHeight w:val="523" w:hRule="atLeast"/>
        </w:trPr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rPr/>
            </w:pPr>
            <w:r>
              <w:rPr/>
              <w:t>Наименование гранаты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Ф-1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РГО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РГД-5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РГ-42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РГН</w:t>
            </w:r>
          </w:p>
        </w:tc>
      </w:tr>
      <w:tr>
        <w:trPr>
          <w:trHeight w:val="563" w:hRule="atLeast"/>
        </w:trPr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rPr/>
            </w:pPr>
            <w:r>
              <w:rPr/>
              <w:t>Вес гранаты (грамм).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600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530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310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420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310</w:t>
            </w:r>
          </w:p>
        </w:tc>
      </w:tr>
      <w:tr>
        <w:trPr>
          <w:trHeight w:val="765" w:hRule="atLeast"/>
        </w:trPr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rPr/>
            </w:pPr>
            <w:r>
              <w:rPr/>
              <w:t>Дальность разлета осколков (м).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200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200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25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25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25</w:t>
            </w:r>
          </w:p>
        </w:tc>
      </w:tr>
      <w:tr>
        <w:trPr>
          <w:trHeight w:val="624" w:hRule="atLeast"/>
        </w:trPr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rPr/>
            </w:pPr>
            <w:r>
              <w:rPr/>
              <w:t>Время горения запала,с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3,2-4,2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мгновен.</w:t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/>
              <w:t>3,2-4,2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3,2-,4,2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3,2-,4,2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spacing w:before="0" w:after="0"/>
              <w:jc w:val="center"/>
              <w:rPr/>
            </w:pPr>
            <w:r>
              <w:rPr/>
              <w:t>мгнов.</w:t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/>
              <w:t>3,2-4,2</w:t>
            </w:r>
          </w:p>
        </w:tc>
      </w:tr>
    </w:tbl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555" w:type="dxa"/>
        <w:jc w:val="center"/>
        <w:tblInd w:w="0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3038"/>
        <w:gridCol w:w="1574"/>
        <w:gridCol w:w="1417"/>
        <w:gridCol w:w="1669"/>
        <w:gridCol w:w="1857"/>
      </w:tblGrid>
      <w:tr>
        <w:trPr>
          <w:trHeight w:val="644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гран.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данные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М-DN21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ФРГ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М-61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США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DN-51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ФРГ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PRB NR446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Бельгия</w:t>
            </w:r>
          </w:p>
        </w:tc>
      </w:tr>
      <w:tr>
        <w:trPr>
          <w:trHeight w:val="613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гранаты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оборонит.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оборонит.</w:t>
            </w:r>
          </w:p>
        </w:tc>
        <w:tc>
          <w:tcPr>
            <w:tcW w:w="35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обор/наступ.</w:t>
            </w:r>
          </w:p>
        </w:tc>
      </w:tr>
      <w:tr>
        <w:trPr>
          <w:trHeight w:val="736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Принцип действия механизма гранаты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дистанц.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дистанц.</w:t>
            </w:r>
          </w:p>
        </w:tc>
      </w:tr>
      <w:tr>
        <w:trPr>
          <w:trHeight w:val="620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горения воспламенит. запала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3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Радиус убойного действия осколков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м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м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5/10 м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</w:t>
            </w:r>
          </w:p>
        </w:tc>
      </w:tr>
      <w:tr>
        <w:trPr>
          <w:trHeight w:val="599" w:hRule="atLeast"/>
        </w:trPr>
        <w:tc>
          <w:tcPr>
            <w:tcW w:w="30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 заряженной гранаты, г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435/145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</w:t>
            </w:r>
          </w:p>
        </w:tc>
      </w:tr>
    </w:tbl>
    <w:p>
      <w:pPr>
        <w:pStyle w:val="Normal"/>
        <w:spacing w:before="10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Метать наступательные гранаты необходимо на дальность, равную разлету убойных осколков, плюс расстояние, которое пройдет атакующий от момента броска до момента взрыва. За время полета гранаты (3-4 с) атакующий, двигаясь бегом или ускоренным шагом (со скоростью 2-4 м/с), может пройти расстояние 10-15 м. Таким образом, гранату из положения на ходу необходимо метать на расстояние 35-40 м. Ручная оборонительная граната Ф-1 и РГО метаются из окопа или укрытия.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Вопрос № 2. Устройство гранат. Работа частей и механизмов гранат.</w:t>
      </w:r>
    </w:p>
    <w:p>
      <w:pPr>
        <w:pStyle w:val="Style16"/>
        <w:spacing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Style16"/>
        <w:spacing w:before="0"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Гранаты РГД-5, Ф-1 состоят из:</w:t>
      </w:r>
    </w:p>
    <w:p>
      <w:pPr>
        <w:pStyle w:val="Style16"/>
        <w:spacing w:before="0" w:after="0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 корпуса с трубкой для запала;</w:t>
      </w:r>
    </w:p>
    <w:p>
      <w:pPr>
        <w:pStyle w:val="Style16"/>
        <w:spacing w:before="0" w:after="0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 разрывного заряда;</w:t>
      </w:r>
    </w:p>
    <w:p>
      <w:pPr>
        <w:pStyle w:val="Style16"/>
        <w:spacing w:before="0" w:after="0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 запала.</w:t>
      </w:r>
    </w:p>
    <w:p>
      <w:pPr>
        <w:pStyle w:val="Style16"/>
        <w:spacing w:before="0" w:after="0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</w:r>
    </w:p>
    <w:p>
      <w:pPr>
        <w:pStyle w:val="Style16"/>
        <w:spacing w:before="0" w:after="0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</w:r>
    </w:p>
    <w:p>
      <w:pPr>
        <w:pStyle w:val="Style16"/>
        <w:spacing w:before="0" w:after="0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</w:r>
    </w:p>
    <w:tbl>
      <w:tblPr>
        <w:tblW w:w="91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3"/>
        <w:gridCol w:w="4574"/>
      </w:tblGrid>
      <w:tr>
        <w:trPr/>
        <w:tc>
          <w:tcPr>
            <w:tcW w:w="4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drawing>
                <wp:anchor distT="0" distB="0" distL="114935" distR="114935" simplePos="0" relativeHeight="18" behindDoc="1" locked="0" layoutInCell="1" allowOverlap="1">
                  <wp:simplePos x="0" y="0"/>
                  <wp:positionH relativeFrom="column">
                    <wp:posOffset>852805</wp:posOffset>
                  </wp:positionH>
                  <wp:positionV relativeFrom="paragraph">
                    <wp:posOffset>500380</wp:posOffset>
                  </wp:positionV>
                  <wp:extent cx="1173480" cy="1586865"/>
                  <wp:effectExtent l="0" t="0" r="0" b="0"/>
                  <wp:wrapTight wrapText="bothSides">
                    <wp:wrapPolygon edited="0">
                      <wp:start x="9367" y="13349"/>
                      <wp:lineTo x="9367" y="11606"/>
                      <wp:lineTo x="8275" y="11606"/>
                      <wp:lineTo x="8275" y="13349"/>
                      <wp:lineTo x="9367" y="13349"/>
                    </wp:wrapPolygon>
                  </wp:wrapTight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32779" t="28725" r="46478" b="21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58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0"/>
              <w:jc w:val="both"/>
              <w:rPr/>
            </w:pPr>
            <w:r>
              <w:rPr/>
              <w:t>Корпус гранаты служит для помещения разрывного заряда, трубки для запала, а так же для образования осколков при взрыве гранаты.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Корпус РГД-5 состоит из двух частей верхней и нижней.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Верхняя часть корпуса состоит из внешней оболочки, называемой колпаком и вкладыша колпака.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Нижняя часть корпуса состоит из внешней оболочки, называемой поддоном, и вкладыша.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1.Трубка для запала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Корпус стальной состоит из: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2. Колпака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3. Поддона (внутри размещается вкладыш колпака и вкладыш поддона).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4. Заглушка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5. Разрывной заряд</w:t>
            </w:r>
          </w:p>
          <w:p>
            <w:pPr>
              <w:pStyle w:val="Normal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drawing>
                <wp:anchor distT="0" distB="0" distL="114935" distR="114935" simplePos="0" relativeHeight="19" behindDoc="1" locked="0" layoutInCell="1" allowOverlap="1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325755</wp:posOffset>
                  </wp:positionV>
                  <wp:extent cx="1130300" cy="1397635"/>
                  <wp:effectExtent l="0" t="0" r="0" b="0"/>
                  <wp:wrapTight wrapText="bothSides">
                    <wp:wrapPolygon edited="0">
                      <wp:start x="9257" y="13518"/>
                      <wp:lineTo x="9257" y="11944"/>
                      <wp:lineTo x="8180" y="11944"/>
                      <wp:lineTo x="8180" y="13518"/>
                      <wp:lineTo x="9257" y="13518"/>
                    </wp:wrapPolygon>
                  </wp:wrapTight>
                  <wp:docPr id="5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32702" t="32766" r="47255" b="23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1397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Корпус гранаты Ф-1 чугунный с продольными и поперечными бороздами, по которым гранатам обычно разрывается на осколки.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В верхней части корпуса обеих гранат имеется нарезное отверстие для запала.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При хранении, транспортировке и переноске гранаты в это отверстие ввернута пластмассовая пробка.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1. Трубка для запала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2. Корпус (чугунный)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3. Разрывной заряд</w:t>
            </w:r>
          </w:p>
          <w:p>
            <w:pPr>
              <w:pStyle w:val="Style16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4. Заглушка</w:t>
            </w:r>
          </w:p>
          <w:p>
            <w:pPr>
              <w:pStyle w:val="Normal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ind w:firstLine="709" w:end="0"/>
        <w:jc w:val="both"/>
        <w:rPr>
          <w:rFonts w:ascii="Times New Roman" w:hAnsi="Times New Roman" w:cs="Times New Roman"/>
          <w:b w:val="false"/>
          <w:color w:val="000000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Cs w:val="28"/>
        </w:rPr>
        <w:t xml:space="preserve">Ручные гранаты </w:t>
      </w:r>
      <w:r>
        <w:rPr>
          <w:rFonts w:cs="Times New Roman" w:ascii="Times New Roman" w:hAnsi="Times New Roman"/>
          <w:b w:val="false"/>
          <w:bCs/>
          <w:color w:val="000000"/>
          <w:szCs w:val="28"/>
          <w:lang w:val="ru-RU"/>
        </w:rPr>
        <w:t>РГН</w:t>
      </w:r>
      <w:r>
        <w:rPr>
          <w:rFonts w:cs="Times New Roman" w:ascii="Times New Roman" w:hAnsi="Times New Roman"/>
          <w:b w:val="false"/>
          <w:bCs/>
          <w:color w:val="000000"/>
          <w:szCs w:val="28"/>
        </w:rPr>
        <w:t xml:space="preserve"> и </w:t>
      </w:r>
      <w:r>
        <w:rPr>
          <w:rFonts w:cs="Times New Roman" w:ascii="Times New Roman" w:hAnsi="Times New Roman"/>
          <w:b w:val="false"/>
          <w:bCs/>
          <w:color w:val="000000"/>
          <w:szCs w:val="28"/>
          <w:lang w:val="ru-RU"/>
        </w:rPr>
        <w:t>РГО</w:t>
      </w:r>
      <w:r>
        <w:rPr>
          <w:rFonts w:cs="Times New Roman" w:ascii="Times New Roman" w:hAnsi="Times New Roman"/>
          <w:b w:val="false"/>
          <w:bCs/>
          <w:color w:val="000000"/>
          <w:szCs w:val="28"/>
        </w:rPr>
        <w:t xml:space="preserve"> состоят из гранат без запала и запалом.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</w:rPr>
        <w:t>Гранаты РГО и РГН без запала состоят из: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-корпуса,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-взрывчатой смеси,</w:t>
      </w:r>
    </w:p>
    <w:p>
      <w:pPr>
        <w:pStyle w:val="Style16"/>
        <w:spacing w:before="0" w:after="0"/>
        <w:ind w:firstLine="709" w:end="0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-детонаторной шашки.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Корпус РГН состоит из двух полусфер, изготовленных из алюминиевого сплава, а корпус РГО, изготовленный из стали, кроме внешних, имеет две внутренние полусферы, а нижняя полусфера имеет насечку.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 w:eastAsia="ru-RU"/>
        </w:rPr>
        <w:drawing>
          <wp:anchor distT="0" distB="0" distL="114935" distR="114935" simplePos="0" relativeHeight="20" behindDoc="1" locked="0" layoutInCell="0" allowOverlap="1">
            <wp:simplePos x="0" y="0"/>
            <wp:positionH relativeFrom="column">
              <wp:posOffset>949325</wp:posOffset>
            </wp:positionH>
            <wp:positionV relativeFrom="paragraph">
              <wp:posOffset>-207010</wp:posOffset>
            </wp:positionV>
            <wp:extent cx="3864610" cy="1985645"/>
            <wp:effectExtent l="0" t="0" r="0" b="0"/>
            <wp:wrapTight wrapText="bothSides">
              <wp:wrapPolygon edited="0">
                <wp:start x="23340" y="12422"/>
                <wp:lineTo x="23340" y="10005"/>
                <wp:lineTo x="20413" y="10005"/>
                <wp:lineTo x="20413" y="12422"/>
                <wp:lineTo x="23340" y="12422"/>
              </wp:wrapPolygon>
            </wp:wrapTight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0184" t="19483" r="1516" b="18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ВЫВОД:</w:t>
      </w:r>
      <w:r>
        <w:rPr>
          <w:color w:val="000000"/>
          <w:sz w:val="28"/>
          <w:szCs w:val="28"/>
        </w:rPr>
        <w:t> На основании изученного материала и из таблиц ТТХ видно, что действительно РОГ, просты по устройству и превосходят по некоторым своим боевым качествам иностранные образцы.</w:t>
      </w:r>
    </w:p>
    <w:p>
      <w:pPr>
        <w:pStyle w:val="Heading2"/>
        <w:ind w:firstLine="709" w:end="0"/>
        <w:jc w:val="both"/>
        <w:rPr>
          <w:rFonts w:ascii="Times New Roman" w:hAnsi="Times New Roman" w:cs="Times New Roman"/>
          <w:b w:val="false"/>
          <w:color w:val="000000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Cs w:val="28"/>
        </w:rPr>
        <w:t>Запалы, их устройство и принцип действия.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Запал</w:t>
      </w:r>
      <w:r>
        <w:rPr>
          <w:color w:val="000000"/>
          <w:sz w:val="28"/>
          <w:szCs w:val="28"/>
        </w:rPr>
        <w:t> ручной осколочной гранаты УЗРГМ (Унифицированный запал ручной гранаты модернизированный) </w:t>
      </w:r>
      <w:r>
        <w:rPr>
          <w:b/>
          <w:bCs/>
          <w:color w:val="000000"/>
          <w:sz w:val="28"/>
          <w:szCs w:val="28"/>
        </w:rPr>
        <w:t>предназначен</w:t>
      </w:r>
      <w:r>
        <w:rPr>
          <w:color w:val="000000"/>
          <w:sz w:val="28"/>
          <w:szCs w:val="28"/>
        </w:rPr>
        <w:t> для взрыва разрывного заряда.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 w:eastAsia="ru-RU"/>
        </w:rPr>
        <w:drawing>
          <wp:anchor distT="0" distB="0" distL="114935" distR="114935" simplePos="0" relativeHeight="21" behindDoc="1" locked="0" layoutInCell="0" allowOverlap="1">
            <wp:simplePos x="0" y="0"/>
            <wp:positionH relativeFrom="column">
              <wp:posOffset>1360805</wp:posOffset>
            </wp:positionH>
            <wp:positionV relativeFrom="paragraph">
              <wp:posOffset>11430</wp:posOffset>
            </wp:positionV>
            <wp:extent cx="2449195" cy="991235"/>
            <wp:effectExtent l="0" t="0" r="0" b="0"/>
            <wp:wrapTight wrapText="bothSides">
              <wp:wrapPolygon edited="0">
                <wp:start x="16583" y="7897"/>
                <wp:lineTo x="16583" y="6660"/>
                <wp:lineTo x="15032" y="6660"/>
                <wp:lineTo x="15032" y="7897"/>
                <wp:lineTo x="16583" y="7897"/>
              </wp:wrapPolygon>
            </wp:wrapTight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0559" t="23858" r="16045" b="4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99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УЗРГМ состоит:</w:t>
      </w:r>
      <w:r>
        <w:rPr>
          <w:color w:val="000000"/>
          <w:sz w:val="28"/>
          <w:szCs w:val="28"/>
        </w:rPr>
        <w:t> из ударного механизма и собственно запала.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Ударный механизм служит для воспламенения капсюля-воспламенителя, он состоит из: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 w:eastAsia="ru-RU"/>
        </w:rPr>
        <w:drawing>
          <wp:anchor distT="0" distB="0" distL="114935" distR="114935" simplePos="0" relativeHeight="22" behindDoc="1" locked="0" layoutInCell="0" allowOverlap="1">
            <wp:simplePos x="0" y="0"/>
            <wp:positionH relativeFrom="column">
              <wp:posOffset>2078990</wp:posOffset>
            </wp:positionH>
            <wp:positionV relativeFrom="paragraph">
              <wp:posOffset>139700</wp:posOffset>
            </wp:positionV>
            <wp:extent cx="2734945" cy="2268855"/>
            <wp:effectExtent l="0" t="0" r="0" b="0"/>
            <wp:wrapTight wrapText="bothSides">
              <wp:wrapPolygon edited="0">
                <wp:start x="13577" y="12169"/>
                <wp:lineTo x="13577" y="8908"/>
                <wp:lineTo x="11868" y="8908"/>
                <wp:lineTo x="11868" y="12169"/>
                <wp:lineTo x="13577" y="12169"/>
              </wp:wrapPolygon>
            </wp:wrapTight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0184" t="14065" r="21579" b="1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eading2"/>
        <w:ind w:firstLine="709" w:end="0"/>
        <w:jc w:val="both"/>
        <w:rPr>
          <w:rFonts w:ascii="Times New Roman" w:hAnsi="Times New Roman" w:cs="Times New Roman"/>
          <w:color w:val="000000"/>
          <w:szCs w:val="28"/>
        </w:rPr>
      </w:pPr>
      <w:r>
        <w:rPr>
          <w:rFonts w:cs="Times New Roman" w:ascii="Times New Roman" w:hAnsi="Times New Roman"/>
          <w:bCs/>
          <w:color w:val="000000"/>
          <w:szCs w:val="28"/>
        </w:rPr>
        <w:t>Принцип действия запала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момент броска гранаты спусковой рычаг отделяется от гранаты и освобождает ударник. Ударник под действием боевой пружины наносит удар (накол) по капсюлю-воспламенителю и воспламеняет его. Луч огня от капсюля-воспламенителя воспламеняет замедлитель и, пройдя его, передается капсюлю детонатору. Капсюль-детонатор взрывается и взрывает разрывной заряд гранаты. Корпус гранаты разрывается, и осколки корпуса и запала разлетаются в разные стороны. Пороховой замедлитель, загораясь от луча огня капсюля-воспламенителя, горит в течение 3.2-4.2 с, после чего взрывается капсюль-детонатор и разрывной заряд; за это время граната пролетит определенное расстояние - дистанцию, поэтому граната называется дистанционной.</w:t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 w:eastAsia="ru-RU"/>
        </w:rPr>
        <w:drawing>
          <wp:anchor distT="0" distB="0" distL="114935" distR="114935" simplePos="0" relativeHeight="23" behindDoc="1" locked="0" layoutInCell="0" allowOverlap="1">
            <wp:simplePos x="0" y="0"/>
            <wp:positionH relativeFrom="column">
              <wp:posOffset>1569720</wp:posOffset>
            </wp:positionH>
            <wp:positionV relativeFrom="paragraph">
              <wp:posOffset>314325</wp:posOffset>
            </wp:positionV>
            <wp:extent cx="2580005" cy="1492885"/>
            <wp:effectExtent l="0" t="0" r="0" b="0"/>
            <wp:wrapTight wrapText="bothSides">
              <wp:wrapPolygon edited="0">
                <wp:start x="17517" y="8515"/>
                <wp:lineTo x="17517" y="6857"/>
                <wp:lineTo x="15903" y="6857"/>
                <wp:lineTo x="15903" y="8515"/>
                <wp:lineTo x="17517" y="8515"/>
              </wp:wrapPolygon>
            </wp:wrapTight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1276" t="19483" r="13383" b="3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Имитационный запал УРГ-Н и УРГ состоит из ударного механизма, переходной втулки и имитационной части.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Ударный механизм устроен так же, как и ударный механизм УЗРГМ, отличается лишь более длинным ударником.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Переходная втулка соединяет ударный механизм с имитационной частью и предохраняет его от загрязнения и повреждения пороховыми га</w:t>
        <w:softHyphen/>
        <w:t>зами.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Имитационная часть запала служит для имитации звукового и дымового эффекта разрыва боевой гранаты. Она состоит из тех же частей, что и собственно запал УЗРГМ, только вместо капсюля детонатора на втулку за</w:t>
        <w:softHyphen/>
        <w:t>медлителя наглухо надета более удлиненная гильза с зарядом дымного по</w:t>
        <w:softHyphen/>
        <w:t>роха.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части УИГ, кроме ударника и имитационной части используются многократно. Для перезаряжания имитационного запала применяется оправка. Работа частей и механизмов имитационного запала аналогична работе запала УЗРГМ.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Heading1"/>
        <w:ind w:hanging="0" w:start="0"/>
        <w:rPr>
          <w:rFonts w:ascii="Arial" w:hAnsi="Arial" w:cs="Arial"/>
          <w:b/>
          <w:bCs/>
          <w:color w:val="000000"/>
          <w:sz w:val="30"/>
          <w:szCs w:val="30"/>
          <w:lang w:val="ru-RU"/>
        </w:rPr>
      </w:pPr>
      <w:r>
        <w:rPr>
          <w:rFonts w:cs="Arial" w:ascii="Arial" w:hAnsi="Arial"/>
          <w:b/>
          <w:bCs/>
          <w:color w:val="000000"/>
          <w:sz w:val="30"/>
          <w:szCs w:val="30"/>
          <w:lang w:val="ru-RU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color w:val="000000"/>
          <w:sz w:val="30"/>
          <w:szCs w:val="30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tabs>
          <w:tab w:val="clear" w:pos="720"/>
          <w:tab w:val="left" w:pos="5108" w:leader="none"/>
        </w:tabs>
        <w:ind w:hanging="0" w:start="0"/>
        <w:jc w:val="start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Ударно-дистанционный запал гранат </w:t>
      </w:r>
      <w:r>
        <w:rPr>
          <w:b/>
          <w:bCs/>
          <w:color w:val="000000"/>
          <w:sz w:val="28"/>
          <w:szCs w:val="28"/>
          <w:lang w:val="ru-RU"/>
        </w:rPr>
        <w:t>РГН</w:t>
      </w:r>
      <w:r>
        <w:rPr>
          <w:b/>
          <w:bCs/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  <w:lang w:val="ru-RU"/>
        </w:rPr>
        <w:t>РГО</w:t>
      </w:r>
      <w:r>
        <w:rPr>
          <w:b/>
          <w:bCs/>
          <w:color w:val="000000"/>
          <w:sz w:val="28"/>
          <w:szCs w:val="28"/>
        </w:rPr>
        <w:t xml:space="preserve"> состоит из: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 w:eastAsia="ru-RU"/>
        </w:rPr>
        <w:drawing>
          <wp:anchor distT="0" distB="0" distL="114935" distR="114935" simplePos="0" relativeHeight="24" behindDoc="1" locked="0" layoutInCell="0" allowOverlap="1">
            <wp:simplePos x="0" y="0"/>
            <wp:positionH relativeFrom="column">
              <wp:posOffset>1967230</wp:posOffset>
            </wp:positionH>
            <wp:positionV relativeFrom="paragraph">
              <wp:posOffset>95885</wp:posOffset>
            </wp:positionV>
            <wp:extent cx="1733550" cy="810260"/>
            <wp:effectExtent l="0" t="0" r="0" b="0"/>
            <wp:wrapTight wrapText="bothSides">
              <wp:wrapPolygon edited="0">
                <wp:start x="15269" y="9499"/>
                <wp:lineTo x="15269" y="8375"/>
                <wp:lineTo x="14019" y="8375"/>
                <wp:lineTo x="14019" y="9499"/>
                <wp:lineTo x="15269" y="9499"/>
              </wp:wrapPolygon>
            </wp:wrapTight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6342" t="31191" r="22932" b="43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 накольно-предохранительного механизма, обеспечивающего безопасность запала в обращении и накол капсюля-воспламенителя после броска гранаты.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 датчика цели, обеспечивающего срабатывание запала при ударе гранаты о преграду.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 дистанционного устройства, обеспечивающего срабатывание детонатора через 3,2-4,2 с после броска гранаты.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 механизма дальнего взведения, обеспечивающего безопасность в служебном обращении и взведение запала через 1-1.8 с момента броска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 детонирующего узла, предназначенного для подрыва взрывчатой смеси.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 w:eastAsia="ru-RU"/>
        </w:rPr>
        <w:drawing>
          <wp:anchor distT="0" distB="0" distL="114935" distR="114935" simplePos="0" relativeHeight="25" behindDoc="1" locked="0" layoutInCell="0" allowOverlap="1">
            <wp:simplePos x="0" y="0"/>
            <wp:positionH relativeFrom="column">
              <wp:posOffset>1708150</wp:posOffset>
            </wp:positionH>
            <wp:positionV relativeFrom="paragraph">
              <wp:posOffset>50165</wp:posOffset>
            </wp:positionV>
            <wp:extent cx="2328545" cy="1492885"/>
            <wp:effectExtent l="0" t="0" r="0" b="0"/>
            <wp:wrapTight wrapText="bothSides">
              <wp:wrapPolygon edited="0">
                <wp:start x="16045" y="9218"/>
                <wp:lineTo x="16045" y="7587"/>
                <wp:lineTo x="14558" y="7587"/>
                <wp:lineTo x="14558" y="9218"/>
                <wp:lineTo x="16045" y="9218"/>
              </wp:wrapPolygon>
            </wp:wrapTight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0997" t="21107" r="17951" b="31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броска рычаг отбрасывается, ударник накалывает капсюль, зажигая состав. Через 1-1,8 с состав выгорает и освобождает движок, который взводится.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встрече с преградой груз вызывает движение гильзы и жало накалывает капсюль. Луч огня от капсюля обеспечивает срабатывание капсюля-детонатора. В случае несрабатывания датчика цели капсюль-детонатор срабатывает от выгорания состава через 3,2 -4,2 с.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ВЫВОД: знание устройства и принципа действия запалов позволяет грамотно использовать гранаты с соблюдением всех требований безопасности, которые мы рассмотрим в третьем учебном вопросе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Вопрос № 3. Подготовка ручных гранат к боевому применению.</w:t>
      </w:r>
    </w:p>
    <w:p>
      <w:pPr>
        <w:pStyle w:val="Style16"/>
        <w:spacing w:before="136" w:after="136"/>
        <w:ind w:firstLine="709" w:end="136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Осмотр и подготовка к боевому применению</w:t>
      </w:r>
      <w:r>
        <w:rPr>
          <w:sz w:val="28"/>
          <w:szCs w:val="28"/>
        </w:rPr>
        <w:t> ручных осколочных гранат. Все запасы гранат и запалов, кроме носимых, хранить в заводской укупорке. Для ношения ручных осколочных гранат служит брезентовая сумка на две гранаты. </w:t>
      </w:r>
      <w:r>
        <w:rPr>
          <w:rStyle w:val="Strong"/>
          <w:iCs/>
          <w:sz w:val="28"/>
          <w:szCs w:val="28"/>
        </w:rPr>
        <w:t>Запалы</w:t>
      </w:r>
      <w:r>
        <w:rPr>
          <w:sz w:val="28"/>
          <w:szCs w:val="28"/>
        </w:rPr>
        <w:t> помещаются в них отдельно от гранат, при этом каждый запал должен быть завернут в бумагу или чистую ветошь. Перед укладкой в гранатную сумку и заряжанием гранаты и запалы осматриваются. При осмотре необходимо обращать внимание на то, чтобы корпус гранаты не имел глубоких вмятин и проржавления; трубка для запала не была засоренной и не имела сквозных повреждений; запал был чистым и не имел проржавления и помятостей; концы предохранительной чеки разведены и не имели трещин на изгибах. Запалы с трещинами или с зеленым налетом к применению непригодны. Следует оберегать гранаты и запалы от сильных толчков, ударов, огня, грязи, сырости. Если они были загрязнены или подмочены, необходимо при первой возможности гранаты тщательно обтереть и просушить на солнце или в теплом помещении, но не около огня. Просушивать гранаты обязательно под наблюдением. Гранаты нужно периодически осматривать.</w:t>
      </w:r>
    </w:p>
    <w:p>
      <w:pPr>
        <w:pStyle w:val="Style16"/>
        <w:spacing w:before="136" w:after="136"/>
        <w:ind w:firstLine="709" w:end="136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Заряжать гранату</w:t>
      </w:r>
      <w:r>
        <w:rPr>
          <w:sz w:val="28"/>
          <w:szCs w:val="28"/>
        </w:rPr>
        <w:t> разрешается только перед её метанием. Заряжание гранаты производится по команде «Подготовить гранаты», а в бою, кроме того, и самостоятельно. Для заряжания необходимо вынуть гранату из гранатной сумки, вывинтить пробку из трубки (стакана) корпуса и ввинтить запал. Граната готова к броску. Части ударного механизма запала находятся в следующем положении: ударник взведен и удерживается в верхнем положении вилкой спускового рычага, соединенного с трубкой ударного механизма предохранительной чекой. Концы предохранительной чеки разведены и прочно удерживают ее в запале.</w:t>
      </w:r>
    </w:p>
    <w:p>
      <w:pPr>
        <w:pStyle w:val="Style16"/>
        <w:spacing w:before="136" w:after="136"/>
        <w:ind w:firstLine="709" w:end="136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Метание гранат</w:t>
      </w:r>
      <w:r>
        <w:rPr>
          <w:sz w:val="28"/>
          <w:szCs w:val="28"/>
        </w:rPr>
        <w:t> производится по команде «Гранатой — огонь» или «По траншее, гранатами — огонь», а в бою, кроме того, и самостоятельно. Для метания гранаты необходимо: взять гранату в руку и пальцами плотно прижать спусковой рычаг к корпусу гранаты; продолжая плотно прижимать спусковой рычаг, другой рукой сжать (выпрямить) концы предохранительной чеки и за кольцо пальцем выдернуть ее из запала; размахнуться и бросить гранату в цель; после метания оборонительной гранаты укрыться. После выдергивания чеки положение запала не меняется, ударник во взведенном положении удерживается рычагом, который освобождается от соединения с трубкой ударного механизма, но прижимается к ней пальцами руки. В момент броска гранаты спусковой рычаг отделяется от гранаты и освобождает ударник. Ударник под действием боевой пружины наносит удар (накол) по капсюлю-воспламенителю и воспламеняет его. Луч огня от капсюля-воспламенителя воспламеняет замедлитель и пройдя его передается капсюлю-детонатору. Капсюль-детонатор взрывается и взрывает разрывной заряд гранаты. Корпус гранаты разрывается и осколки корпуса и запала разлетаются в разные стороны.</w:t>
      </w:r>
    </w:p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Вопрос № 4. Требования безопасности при обращении с ручными гранатами.</w:t>
      </w:r>
    </w:p>
    <w:p>
      <w:pPr>
        <w:pStyle w:val="Style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 укладкой в гранатную сумку и перед заряжанием гранаты и запалы осматриваются</w:t>
      </w:r>
    </w:p>
    <w:p>
      <w:pPr>
        <w:pStyle w:val="Style16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 осмотре обращать внимание на то: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чтобы корпус гранаты не имел глубоких вмятин и следов глубокой ржавчины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трубка для запала не была засоренной и не имела сквозных повреждений;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трубка для запала не была засоренной и не имела сквозных повреждений;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запал был чистым без механических повреждений и следов коррозии;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концы предохранительной чеки были разведены и не имели трещин на изгибах.</w:t>
      </w:r>
    </w:p>
    <w:p>
      <w:pPr>
        <w:pStyle w:val="Style16"/>
        <w:spacing w:before="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Запалы с трещинами или с зеленым налетом к применению непригодны.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Ручные гранаты переносятся в гранатных сумках, запалы помещаются отдельно от гранат, при этом каждый запал должен быть завернут в бумагу или чистую ветошь.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оберегать гранаты и запалы от сильных толчков, ударов, огня, грязи и сырости. Если они были загрязнены или подмочены, при первой возможности гранаты тщательно обтереть и просушить на солнце или в теплом помещении, но не около огня. Просушивать гранаты обязательно под наблюдением.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Разбирать боевые гранаты и устранять в них неисправности, переносить гранаты вне сумок (подвешенными за кольцо предохранительной чеки), а также трогать неразорвавшиеся гранаты </w:t>
      </w:r>
      <w:r>
        <w:rPr>
          <w:b/>
          <w:bCs/>
          <w:color w:val="000000"/>
          <w:sz w:val="28"/>
          <w:szCs w:val="28"/>
        </w:rPr>
        <w:t>запрещается.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Заряжать гранату (вставлять запал) разрешается только перед ее метанием.</w:t>
      </w:r>
    </w:p>
    <w:p>
      <w:pPr>
        <w:pStyle w:val="Style16"/>
        <w:spacing w:before="0" w:after="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Заряжание гранаты производится по команде «Подготовить гранаты», а в бою, кроме того, и самостоятельно.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заряжания необходимо вынуть гранату из гранатной сумки, вывинтить пробку из трубки корпуса и ввинтить запал. Граната готова к броску.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Метание гранаты складывается из выполнения следующих приемов: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изготовки для метания (заряжание гранаты и принятие положения);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метания гранаты.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Метание гранат производится по команде, например: </w:t>
      </w:r>
      <w:r>
        <w:rPr>
          <w:color w:val="000000"/>
          <w:sz w:val="28"/>
          <w:szCs w:val="28"/>
        </w:rPr>
        <w:t>«Гранатой - огонь» или «По траншее, гранатой - огонь», а в бою, кроме того, и самостоятельно.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Для метания гранаты необходимо: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взять гранату в руку и пальцами плотно прижать спусковой рычаг к корпусу гранаты;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продолжая плотно прижимать спусковой рычаг, другой рукой сжать (выпрямить) концы предохранительной чеки и за кольцо пальцем выдернуть ее из запала;</w:t>
      </w:r>
    </w:p>
    <w:p>
      <w:pPr>
        <w:pStyle w:val="Style16"/>
        <w:tabs>
          <w:tab w:val="clear" w:pos="720"/>
          <w:tab w:val="left" w:pos="4578" w:leader="none"/>
        </w:tabs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размахнуться и бросить гранату в цель;</w:t>
        <w:tab/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метания оборонительной гранаты укрыться.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Оружие при этом должно находиться в положении, обеспечивающем немедленную изготовку к действию (в левой руке, в положении «на грудь», на бруствере окопа и т.д.).</w:t>
      </w:r>
    </w:p>
    <w:p>
      <w:pPr>
        <w:pStyle w:val="Style16"/>
        <w:spacing w:before="0" w:after="0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 обучении метанию боевых гранат соблюдать следующие требования безопасности: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 При метании боевой гранаты обучаемые должны быть в стальных шлемах;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 Перед заряжанием осмотреть гранаты и запалы; в случае обнаружения неисправностей доложить командиру.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 При метании одним обучаемым нескольких гранат каждую последующую гранату бросать по истечении не менее 5 с после взрыва предыдущей.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 Если граната не была брошена (предохранительная чека не вынималась), разряжание ее производить только по команде и под непосредственным наблюдением командира.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 Вести учет неразорвавшихся гранат и отмечать места их падения красными флажками.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 Район метания ручных гранат оцеплять в радиусе не менее 300 м.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 Личный состав, не занятый метанием гранат, отводить в укрытие или на безопасное удаление от огневого рубежа (не ближе 350 м).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 Исходное положение для метания гранат обозначать белыми флажками, огневой рубеж - красными.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 Пункт выдачи гранат и запалов оборудовать в укрытии не ближе 25 м от исходного положения.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 Оберегать гранаты и запалы от толчков, ударов, огня, грязи и сырости. Если они были загрязнены или подмочены, тщательно обтереть и просушить на солнце или в теплом помещении.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11. Заряжать гранату только перед ее метанием. Разбирать боевые гранаты и устранять в них неисправности, переносить гранаты вне сумок, а также трогать неразорвавшиеся гранаты запрещается.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12. Метание оборонительной осколочной гранаты производить из окопа или из-за укрытия, не пробиваемого осколками.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ВЫВОД: как показывает опыт ведения боевых операций в локальных войнах и конфликтах, наметилась устойчивая тенденция повышения роли небольших подразделений и отдельных групп в достижении успеха на поле боя.</w:t>
      </w:r>
    </w:p>
    <w:p>
      <w:pPr>
        <w:pStyle w:val="Style16"/>
        <w:spacing w:before="0" w:after="100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боев военнослужащим приходится решать задачи эффективного поражения противника. Поэтому умелое и грамотное использование ручных осколочных гранат может способствовать решению задач на поле боя и в служебно-боевой деятельности.</w:t>
      </w:r>
    </w:p>
    <w:sectPr>
      <w:headerReference w:type="default" r:id="rId13"/>
      <w:headerReference w:type="first" r:id="rId14"/>
      <w:type w:val="nextPage"/>
      <w:pgSz w:w="11906" w:h="16838"/>
      <w:pgMar w:left="1701" w:right="1277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1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07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/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start="1070" w:hanging="360"/>
      </w:pPr>
      <w:rPr>
        <w:b w:val="false"/>
        <w:color w:val="000000"/>
        <w:sz w:val="28"/>
        <w:szCs w:val="28"/>
      </w:rPr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5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4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2z0">
    <w:name w:val="WW8Num2z0"/>
    <w:rPr>
      <w:rFonts w:ascii="Times New Roman" w:hAnsi="Times New Roman" w:cs="Times New Roman"/>
      <w:color w:val="000000"/>
      <w:sz w:val="28"/>
      <w:szCs w:val="28"/>
    </w:rPr>
  </w:style>
  <w:style w:type="character" w:styleId="WW8Num4z0">
    <w:name w:val="WW8Num4z0"/>
    <w:rPr/>
  </w:style>
  <w:style w:type="character" w:styleId="WW8Num5z0">
    <w:name w:val="WW8Num5z0"/>
    <w:rPr/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Wingdings" w:hAnsi="Wingdings" w:cs="Wingdings"/>
    </w:rPr>
  </w:style>
  <w:style w:type="character" w:styleId="WW8Num8z4">
    <w:name w:val="WW8Num8z4"/>
    <w:rPr>
      <w:rFonts w:ascii="Courier New" w:hAnsi="Courier New" w:cs="Courier New"/>
    </w:rPr>
  </w:style>
  <w:style w:type="character" w:styleId="WW8Num9z0">
    <w:name w:val="WW8Num9z0"/>
    <w:rPr>
      <w:rFonts w:ascii="Symbol" w:hAnsi="Symbol" w:cs="Symbol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2">
    <w:name w:val="WW8Num9z2"/>
    <w:rPr>
      <w:rFonts w:ascii="Wingdings" w:hAnsi="Wingdings" w:cs="Wingdings"/>
    </w:rPr>
  </w:style>
  <w:style w:type="character" w:styleId="WW8Num11z0">
    <w:name w:val="WW8Num11z0"/>
    <w:rPr>
      <w:b w:val="false"/>
      <w:color w:val="000000"/>
      <w:sz w:val="28"/>
      <w:szCs w:val="28"/>
    </w:rPr>
  </w:style>
  <w:style w:type="character" w:styleId="WW8Num12z0">
    <w:name w:val="WW8Num12z0"/>
    <w:rPr>
      <w:b w:val="false"/>
      <w:color w:val="000000"/>
      <w:sz w:val="28"/>
      <w:szCs w:val="28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5z0">
    <w:name w:val="WW8Num15z0"/>
    <w:rPr/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5z3">
    <w:name w:val="WW8Num15z3"/>
    <w:rPr>
      <w:rFonts w:ascii="Symbol" w:hAnsi="Symbol" w:cs="Symbol"/>
    </w:rPr>
  </w:style>
  <w:style w:type="character" w:styleId="WW8Num16z0">
    <w:name w:val="WW8Num16z0"/>
    <w:rPr>
      <w:b w:val="false"/>
      <w:color w:val="000000"/>
      <w:sz w:val="28"/>
      <w:szCs w:val="28"/>
    </w:rPr>
  </w:style>
  <w:style w:type="character" w:styleId="WW8Num17z0">
    <w:name w:val="WW8Num17z0"/>
    <w:rPr>
      <w:rFonts w:ascii="Symbol" w:hAnsi="Symbol" w:cs="Symbol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8z0">
    <w:name w:val="WW8Num18z0"/>
    <w:rPr/>
  </w:style>
  <w:style w:type="character" w:styleId="WW8Num19z0">
    <w:name w:val="WW8Num19z0"/>
    <w:rPr>
      <w:rFonts w:ascii="Wingdings" w:hAnsi="Wingdings" w:cs="Wingdings"/>
    </w:rPr>
  </w:style>
  <w:style w:type="character" w:styleId="WW8Num20z0">
    <w:name w:val="WW8Num20z0"/>
    <w:rPr/>
  </w:style>
  <w:style w:type="character" w:styleId="WW8Num21z0">
    <w:name w:val="WW8Num21z0"/>
    <w:rPr>
      <w:rFonts w:ascii="Symbol" w:hAnsi="Symbol" w:cs="Symbol"/>
      <w:sz w:val="20"/>
    </w:rPr>
  </w:style>
  <w:style w:type="character" w:styleId="WW8Num21z1">
    <w:name w:val="WW8Num21z1"/>
    <w:rPr>
      <w:rFonts w:ascii="Courier New" w:hAnsi="Courier New" w:cs="Courier New"/>
      <w:sz w:val="20"/>
    </w:rPr>
  </w:style>
  <w:style w:type="character" w:styleId="WW8Num21z2">
    <w:name w:val="WW8Num21z2"/>
    <w:rPr>
      <w:rFonts w:ascii="Wingdings" w:hAnsi="Wingdings" w:cs="Wingdings"/>
      <w:sz w:val="20"/>
    </w:rPr>
  </w:style>
  <w:style w:type="character" w:styleId="WW8Num22z0">
    <w:name w:val="WW8Num22z0"/>
    <w:rPr>
      <w:rFonts w:ascii="Symbol" w:hAnsi="Symbol" w:cs="Symbol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3z0">
    <w:name w:val="WW8Num23z0"/>
    <w:rPr/>
  </w:style>
  <w:style w:type="character" w:styleId="WW8Num24z0">
    <w:name w:val="WW8Num24z0"/>
    <w:rPr>
      <w:rFonts w:ascii="Symbol" w:hAnsi="Symbol" w:cs="Symbol"/>
    </w:rPr>
  </w:style>
  <w:style w:type="character" w:styleId="WW8Num24z1">
    <w:name w:val="WW8Num24z1"/>
    <w:rPr>
      <w:rFonts w:ascii="Courier New" w:hAnsi="Courier New" w:cs="Courier New"/>
    </w:rPr>
  </w:style>
  <w:style w:type="character" w:styleId="WW8Num24z2">
    <w:name w:val="WW8Num24z2"/>
    <w:rPr>
      <w:rFonts w:ascii="Wingdings" w:hAnsi="Wingdings" w:cs="Wingdings"/>
    </w:rPr>
  </w:style>
  <w:style w:type="character" w:styleId="WW8Num25z0">
    <w:name w:val="WW8Num25z0"/>
    <w:rPr>
      <w:b w:val="false"/>
      <w:color w:val="000000"/>
      <w:sz w:val="28"/>
      <w:szCs w:val="28"/>
    </w:rPr>
  </w:style>
  <w:style w:type="character" w:styleId="WW8Num26z0">
    <w:name w:val="WW8Num26z0"/>
    <w:rPr>
      <w:b w:val="false"/>
    </w:rPr>
  </w:style>
  <w:style w:type="character" w:styleId="WW8Num27z0">
    <w:name w:val="WW8Num27z0"/>
    <w:rPr/>
  </w:style>
  <w:style w:type="character" w:styleId="WW8Num28z0">
    <w:name w:val="WW8Num28z0"/>
    <w:rPr>
      <w:rFonts w:ascii="Times New Roman" w:hAnsi="Times New Roman" w:cs="Times New Roman"/>
    </w:rPr>
  </w:style>
  <w:style w:type="character" w:styleId="WW8Num29z0">
    <w:name w:val="WW8Num29z0"/>
    <w:rPr>
      <w:rFonts w:ascii="Symbol" w:hAnsi="Symbol" w:cs="Symbol"/>
    </w:rPr>
  </w:style>
  <w:style w:type="character" w:styleId="WW8Num29z1">
    <w:name w:val="WW8Num29z1"/>
    <w:rPr>
      <w:rFonts w:ascii="Courier New" w:hAnsi="Courier New" w:cs="Courier New"/>
    </w:rPr>
  </w:style>
  <w:style w:type="character" w:styleId="WW8Num29z2">
    <w:name w:val="WW8Num29z2"/>
    <w:rPr>
      <w:rFonts w:ascii="Wingdings" w:hAnsi="Wingdings" w:cs="Wingdings"/>
    </w:rPr>
  </w:style>
  <w:style w:type="character" w:styleId="WW8Num31z0">
    <w:name w:val="WW8Num31z0"/>
    <w:rPr>
      <w:rFonts w:ascii="Times New Roman" w:hAnsi="Times New Roman" w:eastAsia="Times New Roman" w:cs="Times New Roman"/>
    </w:rPr>
  </w:style>
  <w:style w:type="character" w:styleId="WW8Num31z1">
    <w:name w:val="WW8Num31z1"/>
    <w:rPr>
      <w:rFonts w:ascii="Wingdings" w:hAnsi="Wingdings" w:cs="Wingdings"/>
    </w:rPr>
  </w:style>
  <w:style w:type="character" w:styleId="WW8Num31z3">
    <w:name w:val="WW8Num31z3"/>
    <w:rPr>
      <w:rFonts w:ascii="Symbol" w:hAnsi="Symbol" w:cs="Symbol"/>
    </w:rPr>
  </w:style>
  <w:style w:type="character" w:styleId="WW8Num31z4">
    <w:name w:val="WW8Num31z4"/>
    <w:rPr>
      <w:rFonts w:ascii="Courier New" w:hAnsi="Courier New" w:cs="Courier New"/>
    </w:rPr>
  </w:style>
  <w:style w:type="character" w:styleId="WW8Num32z0">
    <w:name w:val="WW8Num32z0"/>
    <w:rPr>
      <w:rFonts w:ascii="Times New Roman" w:hAnsi="Times New Roman" w:cs="Times New Roman"/>
    </w:rPr>
  </w:style>
  <w:style w:type="character" w:styleId="WW8Num33z0">
    <w:name w:val="WW8Num33z0"/>
    <w:rPr>
      <w:rFonts w:ascii="Symbol" w:hAnsi="Symbol" w:cs="Symbol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2">
    <w:name w:val="WW8Num33z2"/>
    <w:rPr>
      <w:rFonts w:ascii="Wingdings" w:hAnsi="Wingdings" w:cs="Wingdings"/>
    </w:rPr>
  </w:style>
  <w:style w:type="character" w:styleId="WW8Num35z0">
    <w:name w:val="WW8Num35z0"/>
    <w:rPr/>
  </w:style>
  <w:style w:type="character" w:styleId="WW8Num36z0">
    <w:name w:val="WW8Num36z0"/>
    <w:rPr>
      <w:rFonts w:ascii="Wingdings" w:hAnsi="Wingdings" w:cs="Wingdings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3">
    <w:name w:val="WW8Num36z3"/>
    <w:rPr>
      <w:rFonts w:ascii="Symbol" w:hAnsi="Symbol" w:cs="Symbol"/>
    </w:rPr>
  </w:style>
  <w:style w:type="character" w:styleId="WW8Num37z0">
    <w:name w:val="WW8Num37z0"/>
    <w:rPr/>
  </w:style>
  <w:style w:type="character" w:styleId="WW8Num38z0">
    <w:name w:val="WW8Num38z0"/>
    <w:rPr/>
  </w:style>
  <w:style w:type="character" w:styleId="WW8Num39z0">
    <w:name w:val="WW8Num39z0"/>
    <w:rPr>
      <w:rFonts w:ascii="Wingdings" w:hAnsi="Wingdings" w:cs="Wingdings"/>
    </w:rPr>
  </w:style>
  <w:style w:type="character" w:styleId="WW8Num39z1">
    <w:name w:val="WW8Num39z1"/>
    <w:rPr>
      <w:rFonts w:ascii="Courier New" w:hAnsi="Courier New" w:cs="Courier New"/>
    </w:rPr>
  </w:style>
  <w:style w:type="character" w:styleId="WW8Num39z3">
    <w:name w:val="WW8Num39z3"/>
    <w:rPr>
      <w:rFonts w:ascii="Symbol" w:hAnsi="Symbol" w:cs="Symbol"/>
    </w:rPr>
  </w:style>
  <w:style w:type="character" w:styleId="WW8Num40z0">
    <w:name w:val="WW8Num40z0"/>
    <w:rPr/>
  </w:style>
  <w:style w:type="character" w:styleId="WW8Num41z0">
    <w:name w:val="WW8Num41z0"/>
    <w:rPr/>
  </w:style>
  <w:style w:type="character" w:styleId="WW8Num41z1">
    <w:name w:val="WW8Num41z1"/>
    <w:rPr>
      <w:rFonts w:ascii="Courier New" w:hAnsi="Courier New" w:cs="Courier New"/>
    </w:rPr>
  </w:style>
  <w:style w:type="character" w:styleId="WW8Num41z2">
    <w:name w:val="WW8Num41z2"/>
    <w:rPr>
      <w:rFonts w:ascii="Wingdings" w:hAnsi="Wingdings" w:cs="Wingdings"/>
    </w:rPr>
  </w:style>
  <w:style w:type="character" w:styleId="WW8Num41z3">
    <w:name w:val="WW8Num41z3"/>
    <w:rPr>
      <w:rFonts w:ascii="Symbol" w:hAnsi="Symbol" w:cs="Symbol"/>
    </w:rPr>
  </w:style>
  <w:style w:type="character" w:styleId="WW8Num44z0">
    <w:name w:val="WW8Num44z0"/>
    <w:rPr>
      <w:b w:val="false"/>
      <w:color w:val="000000"/>
      <w:sz w:val="28"/>
      <w:szCs w:val="28"/>
    </w:rPr>
  </w:style>
  <w:style w:type="character" w:styleId="WW8Num45z0">
    <w:name w:val="WW8Num45z0"/>
    <w:rPr>
      <w:rFonts w:ascii="Symbol" w:hAnsi="Symbol" w:cs="Symbol"/>
      <w:sz w:val="20"/>
    </w:rPr>
  </w:style>
  <w:style w:type="character" w:styleId="WW8Num45z1">
    <w:name w:val="WW8Num45z1"/>
    <w:rPr>
      <w:rFonts w:ascii="Courier New" w:hAnsi="Courier New" w:cs="Courier New"/>
      <w:sz w:val="20"/>
    </w:rPr>
  </w:style>
  <w:style w:type="character" w:styleId="WW8Num45z2">
    <w:name w:val="WW8Num45z2"/>
    <w:rPr>
      <w:rFonts w:ascii="Wingdings" w:hAnsi="Wingdings" w:cs="Wingdings"/>
      <w:sz w:val="20"/>
    </w:rPr>
  </w:style>
  <w:style w:type="character" w:styleId="WW8NumSt3z0">
    <w:name w:val="WW8NumSt3z0"/>
    <w:rPr>
      <w:rFonts w:ascii="Symbol" w:hAnsi="Symbol" w:cs="Symbol"/>
    </w:rPr>
  </w:style>
  <w:style w:type="character" w:styleId="WW8NumSt3z1">
    <w:name w:val="WW8NumSt3z1"/>
    <w:rPr>
      <w:rFonts w:ascii="Courier New" w:hAnsi="Courier New" w:cs="Courier New"/>
    </w:rPr>
  </w:style>
  <w:style w:type="character" w:styleId="WW8NumSt3z2">
    <w:name w:val="WW8NumSt3z2"/>
    <w:rPr>
      <w:rFonts w:ascii="Wingdings" w:hAnsi="Wingdings" w:cs="Wingdings"/>
    </w:rPr>
  </w:style>
  <w:style w:type="character" w:styleId="WW8NumSt17z0">
    <w:name w:val="WW8NumSt17z0"/>
    <w:rPr>
      <w:rFonts w:ascii="Times New Roman" w:hAnsi="Times New Roman" w:cs="Times New Roman"/>
    </w:rPr>
  </w:style>
  <w:style w:type="character" w:styleId="WW8NumSt18z0">
    <w:name w:val="WW8NumSt18z0"/>
    <w:rPr>
      <w:rFonts w:ascii="Times New Roman" w:hAnsi="Times New Roman" w:cs="Times New Roman"/>
    </w:rPr>
  </w:style>
  <w:style w:type="character" w:styleId="WW8NumSt19z0">
    <w:name w:val="WW8NumSt19z0"/>
    <w:rPr>
      <w:rFonts w:ascii="Times New Roman" w:hAnsi="Times New Roman" w:cs="Times New Roman"/>
    </w:rPr>
  </w:style>
  <w:style w:type="character" w:styleId="WW8NumSt20z0">
    <w:name w:val="WW8NumSt20z0"/>
    <w:rPr>
      <w:rFonts w:ascii="Times New Roman" w:hAnsi="Times New Roman" w:cs="Times New Roman"/>
    </w:rPr>
  </w:style>
  <w:style w:type="character" w:styleId="WW8NumSt22z0">
    <w:name w:val="WW8NumSt22z0"/>
    <w:rPr>
      <w:rFonts w:ascii="Times New Roman" w:hAnsi="Times New Roman" w:cs="Times New Roman"/>
    </w:rPr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FontStyle190">
    <w:name w:val="Font Style190"/>
    <w:rPr>
      <w:rFonts w:ascii="Times New Roman" w:hAnsi="Times New Roman" w:cs="Times New Roman"/>
      <w:spacing w:val="10"/>
      <w:sz w:val="20"/>
      <w:szCs w:val="20"/>
    </w:rPr>
  </w:style>
  <w:style w:type="character" w:styleId="FontStyle191">
    <w:name w:val="Font Style191"/>
    <w:rPr>
      <w:rFonts w:ascii="Times New Roman" w:hAnsi="Times New Roman" w:cs="Times New Roman"/>
      <w:b/>
      <w:bCs/>
      <w:sz w:val="20"/>
      <w:szCs w:val="20"/>
    </w:rPr>
  </w:style>
  <w:style w:type="character" w:styleId="FontStyle188">
    <w:name w:val="Font Style188"/>
    <w:rPr>
      <w:rFonts w:ascii="Times New Roman" w:hAnsi="Times New Roman" w:cs="Times New Roman"/>
      <w:b/>
      <w:bCs/>
      <w:sz w:val="16"/>
      <w:szCs w:val="16"/>
    </w:rPr>
  </w:style>
  <w:style w:type="character" w:styleId="FontStyle185">
    <w:name w:val="Font Style185"/>
    <w:rPr>
      <w:rFonts w:ascii="Times New Roman" w:hAnsi="Times New Roman" w:cs="Times New Roman"/>
      <w:sz w:val="16"/>
      <w:szCs w:val="16"/>
    </w:rPr>
  </w:style>
  <w:style w:type="character" w:styleId="FontStyle196">
    <w:name w:val="Font Style196"/>
    <w:rPr>
      <w:rFonts w:ascii="Times New Roman" w:hAnsi="Times New Roman" w:cs="Times New Roman"/>
      <w:b/>
      <w:bCs/>
      <w:i/>
      <w:iCs/>
      <w:spacing w:val="30"/>
      <w:sz w:val="14"/>
      <w:szCs w:val="14"/>
    </w:rPr>
  </w:style>
  <w:style w:type="character" w:styleId="FontStyle184">
    <w:name w:val="Font Style184"/>
    <w:rPr>
      <w:rFonts w:ascii="Cambria" w:hAnsi="Cambria" w:cs="Cambria"/>
      <w:spacing w:val="-10"/>
      <w:sz w:val="28"/>
      <w:szCs w:val="28"/>
    </w:rPr>
  </w:style>
  <w:style w:type="character" w:styleId="FontStyle194">
    <w:name w:val="Font Style194"/>
    <w:rPr>
      <w:rFonts w:ascii="Times New Roman" w:hAnsi="Times New Roman" w:cs="Times New Roman"/>
      <w:b/>
      <w:bCs/>
      <w:sz w:val="12"/>
      <w:szCs w:val="12"/>
    </w:rPr>
  </w:style>
  <w:style w:type="character" w:styleId="FontStyle193">
    <w:name w:val="Font Style193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198">
    <w:name w:val="Font Style198"/>
    <w:rPr>
      <w:rFonts w:ascii="Times New Roman" w:hAnsi="Times New Roman" w:cs="Times New Roman"/>
      <w:b/>
      <w:bCs/>
      <w:sz w:val="12"/>
      <w:szCs w:val="12"/>
    </w:rPr>
  </w:style>
  <w:style w:type="character" w:styleId="FontStyle201">
    <w:name w:val="Font Style201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244">
    <w:name w:val="Font Style244"/>
    <w:rPr>
      <w:rFonts w:ascii="Times New Roman" w:hAnsi="Times New Roman" w:cs="Times New Roman"/>
      <w:b/>
      <w:bCs/>
      <w:smallCaps/>
      <w:sz w:val="20"/>
      <w:szCs w:val="20"/>
    </w:rPr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currentmob">
    <w:name w:val="currentmob"/>
    <w:basedOn w:val="Style5"/>
    <w:rPr/>
  </w:style>
  <w:style w:type="character" w:styleId="Strong">
    <w:name w:val="Strong"/>
    <w:rPr>
      <w:b/>
      <w:bCs/>
    </w:rPr>
  </w:style>
  <w:style w:type="character" w:styleId="21">
    <w:name w:val="Основной текст 2 Знак"/>
    <w:rPr>
      <w:b/>
      <w:sz w:val="28"/>
    </w:rPr>
  </w:style>
  <w:style w:type="paragraph" w:styleId="Style10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31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2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3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24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12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2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14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Style30">
    <w:name w:val="Style30"/>
    <w:basedOn w:val="Normal"/>
    <w:pPr>
      <w:widowControl w:val="false"/>
      <w:autoSpaceDE w:val="false"/>
      <w:spacing w:lineRule="exact" w:line="214"/>
      <w:ind w:firstLine="317" w:start="0" w:end="0"/>
      <w:jc w:val="both"/>
    </w:pPr>
    <w:rPr>
      <w:rFonts w:eastAsia="Times New Roman"/>
      <w:sz w:val="24"/>
      <w:szCs w:val="24"/>
    </w:rPr>
  </w:style>
  <w:style w:type="paragraph" w:styleId="Style41">
    <w:name w:val="Style4"/>
    <w:basedOn w:val="Normal"/>
    <w:pPr>
      <w:widowControl w:val="false"/>
      <w:autoSpaceDE w:val="false"/>
      <w:jc w:val="center"/>
    </w:pPr>
    <w:rPr>
      <w:rFonts w:eastAsia="Times New Roman"/>
      <w:sz w:val="24"/>
      <w:szCs w:val="24"/>
    </w:rPr>
  </w:style>
  <w:style w:type="paragraph" w:styleId="Style61">
    <w:name w:val="Style6"/>
    <w:basedOn w:val="Normal"/>
    <w:pPr>
      <w:widowControl w:val="false"/>
      <w:autoSpaceDE w:val="false"/>
      <w:spacing w:lineRule="exact" w:line="202"/>
      <w:ind w:firstLine="278" w:start="0" w:end="0"/>
    </w:pPr>
    <w:rPr>
      <w:rFonts w:eastAsia="Times New Roman"/>
      <w:sz w:val="24"/>
      <w:szCs w:val="24"/>
    </w:rPr>
  </w:style>
  <w:style w:type="paragraph" w:styleId="Style33">
    <w:name w:val="Style33"/>
    <w:basedOn w:val="Normal"/>
    <w:pPr>
      <w:widowControl w:val="false"/>
      <w:autoSpaceDE w:val="false"/>
      <w:spacing w:lineRule="exact" w:line="211"/>
      <w:jc w:val="both"/>
    </w:pPr>
    <w:rPr>
      <w:rFonts w:eastAsia="Times New Roman"/>
      <w:sz w:val="24"/>
      <w:szCs w:val="24"/>
    </w:rPr>
  </w:style>
  <w:style w:type="paragraph" w:styleId="Style121">
    <w:name w:val="Style12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4">
    <w:name w:val="Style44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6">
    <w:name w:val="Style46"/>
    <w:basedOn w:val="Normal"/>
    <w:pPr>
      <w:widowControl w:val="false"/>
      <w:autoSpaceDE w:val="false"/>
      <w:jc w:val="end"/>
    </w:pPr>
    <w:rPr>
      <w:rFonts w:eastAsia="Times New Roman"/>
      <w:sz w:val="24"/>
      <w:szCs w:val="24"/>
    </w:rPr>
  </w:style>
  <w:style w:type="paragraph" w:styleId="Style111">
    <w:name w:val="Style11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79">
    <w:name w:val="Style79"/>
    <w:basedOn w:val="Normal"/>
    <w:pPr>
      <w:widowControl w:val="false"/>
      <w:autoSpaceDE w:val="false"/>
      <w:spacing w:lineRule="exact" w:line="216"/>
      <w:ind w:firstLine="298" w:start="0" w:end="0"/>
      <w:jc w:val="both"/>
    </w:pPr>
    <w:rPr>
      <w:rFonts w:eastAsia="Times New Roman"/>
      <w:sz w:val="24"/>
      <w:szCs w:val="24"/>
    </w:rPr>
  </w:style>
  <w:style w:type="paragraph" w:styleId="Style125">
    <w:name w:val="Style125"/>
    <w:basedOn w:val="Normal"/>
    <w:pPr>
      <w:widowControl w:val="false"/>
      <w:autoSpaceDE w:val="false"/>
      <w:spacing w:lineRule="exact" w:line="216"/>
      <w:jc w:val="center"/>
    </w:pPr>
    <w:rPr>
      <w:rFonts w:eastAsia="Times New Roman"/>
      <w:sz w:val="24"/>
      <w:szCs w:val="24"/>
    </w:rPr>
  </w:style>
  <w:style w:type="paragraph" w:styleId="Style144">
    <w:name w:val="Style144"/>
    <w:basedOn w:val="Normal"/>
    <w:pPr>
      <w:widowControl w:val="false"/>
      <w:autoSpaceDE w:val="false"/>
      <w:spacing w:lineRule="exact" w:line="215"/>
      <w:ind w:firstLine="322" w:start="0" w:end="0"/>
      <w:jc w:val="both"/>
    </w:pPr>
    <w:rPr>
      <w:rFonts w:eastAsia="Times New Roman"/>
      <w:sz w:val="24"/>
      <w:szCs w:val="24"/>
    </w:rPr>
  </w:style>
  <w:style w:type="paragraph" w:styleId="33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15">
    <w:name w:val="Цитата"/>
    <w:basedOn w:val="Normal"/>
    <w:pPr>
      <w:ind w:hanging="0" w:start="720" w:end="535"/>
      <w:jc w:val="both"/>
    </w:pPr>
    <w:rPr>
      <w:sz w:val="24"/>
      <w:szCs w:val="24"/>
    </w:rPr>
  </w:style>
  <w:style w:type="paragraph" w:styleId="Style16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s1">
    <w:name w:val="s_1"/>
    <w:basedOn w:val="Normal"/>
    <w:pPr>
      <w:spacing w:before="100" w:after="100"/>
    </w:pPr>
    <w:rPr>
      <w:sz w:val="24"/>
      <w:szCs w:val="24"/>
    </w:rPr>
  </w:style>
  <w:style w:type="paragraph" w:styleId="mink">
    <w:name w:val="mink"/>
    <w:basedOn w:val="Normal"/>
    <w:pPr>
      <w:spacing w:before="100" w:after="100"/>
    </w:pPr>
    <w:rPr>
      <w:sz w:val="24"/>
      <w:szCs w:val="24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  <w:style w:type="numbering" w:styleId="WW8Num43">
    <w:name w:val="WW8Num43"/>
  </w:style>
  <w:style w:type="numbering" w:styleId="WW8Num44">
    <w:name w:val="WW8Num44"/>
  </w:style>
  <w:style w:type="numbering" w:styleId="WW8Num45">
    <w:name w:val="WW8Num4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2021-08-05T12:43:00Z</dcterms:created>
  <dc:creator>ШЕВЧЕНКО Виктор Федорович</dc:creator>
  <dc:description/>
  <cp:keywords/>
  <dc:language>ru-RU</dc:language>
  <cp:lastModifiedBy>Остапенко Николай Владимирович</cp:lastModifiedBy>
  <cp:lastPrinted>2022-09-08T12:36:00Z</cp:lastPrinted>
  <dcterms:modified xsi:type="dcterms:W3CDTF">2024-10-16T13:17:00Z</dcterms:modified>
  <cp:revision>37</cp:revision>
  <dc:subject/>
  <dc:title>ТОЛЬЯТТИНСКИЙ ФИЛИАЛ ВОЕННОГО ИНЖЕНЕРНО-ТЕХНИЧЕСКОГО УНИВЕРСИТЕТА</dc:title>
</cp:coreProperties>
</file>