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B6F93">
      <w:pPr>
        <w:autoSpaceDE w:val="0"/>
        <w:autoSpaceDN w:val="0"/>
        <w:adjustRightInd w:val="0"/>
        <w:spacing w:before="312" w:beforeLines="100"/>
        <w:jc w:val="center"/>
        <w:rPr>
          <w:rFonts w:hint="eastAsia" w:ascii="Times New Roman" w:hAnsi="Times New Roman" w:eastAsia="黑体" w:cs="Times New Roman"/>
          <w:b/>
          <w:kern w:val="2"/>
          <w:sz w:val="44"/>
          <w:szCs w:val="44"/>
          <w:lang w:val="en-US" w:eastAsia="zh-CN" w:bidi="ar-SA"/>
        </w:rPr>
      </w:pPr>
      <w:r>
        <w:rPr>
          <w:rFonts w:hint="eastAsia" w:ascii="Times New Roman" w:hAnsi="Times New Roman" w:eastAsia="黑体" w:cs="Times New Roman"/>
          <w:b/>
          <w:kern w:val="2"/>
          <w:sz w:val="44"/>
          <w:szCs w:val="44"/>
          <w:lang w:val="en-US" w:eastAsia="zh-CN" w:bidi="ar-SA"/>
        </w:rPr>
        <w:t>超高速离心空压机系统设计及实验研究</w:t>
      </w:r>
    </w:p>
    <w:p w14:paraId="0876AE50">
      <w:pPr>
        <w:pStyle w:val="3"/>
        <w:rPr>
          <w:rFonts w:ascii="Times New Roman" w:hAnsi="Times New Roman"/>
        </w:rPr>
      </w:pPr>
      <w:r>
        <w:rPr>
          <w:rFonts w:hint="eastAsia" w:ascii="Times New Roman" w:hAnsi="Times New Roman"/>
          <w:lang w:val="en-US" w:eastAsia="zh-CN"/>
        </w:rPr>
        <w:t xml:space="preserve">1  </w:t>
      </w:r>
      <w:r>
        <w:rPr>
          <w:rFonts w:ascii="Times New Roman" w:hAnsi="Times New Roman"/>
        </w:rPr>
        <w:t>问题描述</w:t>
      </w:r>
    </w:p>
    <w:p w14:paraId="2449EA6D">
      <w:pPr>
        <w:pStyle w:val="8"/>
        <w:ind w:firstLine="420" w:firstLineChars="200"/>
        <w:rPr>
          <w:rFonts w:hint="eastAsia"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在全球绿色低碳发展背景下，燃料电池汽车（FCV）是未来汽车产业的核心方向之一，其动力核心质子交换膜燃料电池（PEMFC）系统的能量转换效率直接取决于关键辅助部件 —— 空压机的性能。现有 PEMFC 用空压机需满足无油、高效、紧凑、低噪及宽工况适应性要求，但传统螺杆式、罗茨式空压机存在体积大、噪声高或效率不足等问题；离心式空压机虽具备无油、体积小、能效高的优势，但其超高速运行（需 10 万 rpm 以上）面临转子 - 轴承系统稳定支撑（无油润滑）、电机高温散热、转子动力学安全等技术瓶颈。</w:t>
      </w:r>
    </w:p>
    <w:p w14:paraId="39F8B951">
      <w:pPr>
        <w:pStyle w:val="8"/>
        <w:ind w:firstLine="420" w:firstLineChars="200"/>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lang w:val="en-US" w:eastAsia="zh-CN" w:bidi="ar-SA"/>
        </w:rPr>
        <w:t>针对上述问题，本文旨在设计一款适用于燃料电池乘用车的超高速离心空压机，额定参数为：功率 5 kW、转速 150 krpm、流量 50 g/s、压比 2.1，重点解决三大核心问题：（1）采用空气箔片轴承（GFB）实现无油超高速支撑，需优化轴承静动态特性以保证系统稳定性；（2）永磁同步电机（PMSM）超高速运行时的损耗与散热控制，避免永磁体退磁；（3）转子系统在超高速下的临界转速规避与离心应力强度校核。</w:t>
      </w:r>
    </w:p>
    <w:p w14:paraId="19835FB3">
      <w:pPr>
        <w:pStyle w:val="4"/>
        <w:rPr>
          <w:rFonts w:ascii="Times New Roman" w:hAnsi="Times New Roman"/>
        </w:rPr>
      </w:pPr>
      <w:r>
        <w:rPr>
          <w:rFonts w:ascii="Times New Roman" w:hAnsi="Times New Roman"/>
        </w:rPr>
        <w:t>Problem Description</w:t>
      </w:r>
    </w:p>
    <w:p w14:paraId="3DF01B39">
      <w:pPr>
        <w:pStyle w:val="8"/>
        <w:rPr>
          <w:rFonts w:hint="eastAsia"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Against the backdrop of global green and low-carbon development, fuel cell vehicles (FCVs) are one of the core directions of the future automotive industry. The energy conversion efficiency of their power core, the proton exchange membrane fuel cell (PEMFC) system, directly depends on the performance of the key auxiliary component—the air compressor. Existing air compressors for PEMFCs need to meet the requirements of oil-free operation, high efficiency, compact size, low noise, and wide operating condition adaptability. However, traditional screw and Roots air compressors have problems such as large volume, high noise, or insufficient efficiency; centrifugal air compressors, although having the advantages of oil-free operation, small size, and high energy efficiency, face technical bottlenecks in ultra-high-speed operation (requiring more than 100,000 rpm), including stable support of the rotor-bearing system (oil-free lubrication), high-temperature heat dissipation of the motor, and rotor dynamics safety.</w:t>
      </w:r>
    </w:p>
    <w:p w14:paraId="295F71AB">
      <w:pPr>
        <w:pStyle w:val="8"/>
        <w:ind w:firstLine="420" w:firstLineChars="200"/>
        <w:rPr>
          <w:rFonts w:hint="eastAsia"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To address the above issues, this study aims to design an ultra-high-speed centrifugal air compressor suitable for fuel cell passenger vehicles, with rated parameters: power 5 kW, speed 150 krpm, flow rate 50 g/s, and pressure ratio 2.1. It focuses on solving three core problems: (1) Realizing oil-free ultra-high-speed support using gas foil bearings (GFBs), which requires optimizing the static and dynamic characteristics of the bearings to ensure system stability; (2) Controlling the losses and heat dissipation of the permanent magnet synchronous motor (PMSM) during ultra-high-speed operation to avoid demagnetization of permanent magnets; (3) Avoiding critical speeds and checking centrifugal stress strength of the rotor system under ultra-high-speed conditions.</w:t>
      </w:r>
    </w:p>
    <w:p w14:paraId="36E610AF">
      <w:pPr>
        <w:pStyle w:val="8"/>
        <w:spacing w:before="156" w:beforeLines="50" w:after="156" w:afterLines="50"/>
        <w:rPr>
          <w:rFonts w:hint="eastAsia" w:ascii="Times New Roman" w:hAnsi="Times New Roman" w:eastAsia="黑体" w:cs="Times New Roman"/>
          <w:b/>
          <w:kern w:val="2"/>
          <w:sz w:val="28"/>
          <w:szCs w:val="28"/>
          <w:lang w:val="en-US" w:eastAsia="zh-CN" w:bidi="ar-SA"/>
        </w:rPr>
      </w:pPr>
      <w:r>
        <w:rPr>
          <w:rFonts w:hint="eastAsia" w:ascii="Times New Roman" w:hAnsi="Times New Roman" w:eastAsia="黑体" w:cs="Times New Roman"/>
          <w:b/>
          <w:kern w:val="2"/>
          <w:sz w:val="28"/>
          <w:szCs w:val="28"/>
          <w:lang w:val="en-US" w:eastAsia="zh-CN" w:bidi="ar-SA"/>
        </w:rPr>
        <w:t>2  方法</w:t>
      </w:r>
    </w:p>
    <w:p w14:paraId="4A667E48">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本文采用 “理论设计 - 仿真分析 - 实验验证” 的一体化研究方法，基于 Heshmat 提出的 “四步法”，依次完成 GFB 尺寸设计（径向 / 推力轴承）、Link-Spring 模型求解轴承静动态刚度与阻尼、Xlrotor 软件建立转子动力学有限元模型（临界转速与不平衡响应分析）、ANSYS 软件进行转子离心应力强度校核。</w:t>
      </w:r>
    </w:p>
    <w:p w14:paraId="3B6EA91A">
      <w:pPr>
        <w:pStyle w:val="8"/>
        <w:ind w:firstLine="420" w:firstLineChars="200"/>
        <w:rPr>
          <w:rFonts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然后</w:t>
      </w:r>
      <w:r>
        <w:rPr>
          <w:rFonts w:ascii="Times New Roman" w:hAnsi="Times New Roman" w:eastAsia="宋体" w:cs="Times New Roman"/>
          <w:kern w:val="2"/>
          <w:lang w:val="en-US" w:eastAsia="zh-CN" w:bidi="ar-SA"/>
        </w:rPr>
        <w:t>采用 Motor-CAD 软件建立 PMSM 电磁 - 热耦合模型，计算电机铜耗、铁耗等损耗；设计螺旋槽水冷（定子）+ 气冷（转子）复合冷却系统，通过磁热有限元分析验证散热效果。</w:t>
      </w:r>
    </w:p>
    <w:p w14:paraId="7D54D998">
      <w:pPr>
        <w:pStyle w:val="8"/>
        <w:ind w:firstLine="420" w:firstLineChars="200"/>
        <w:rPr>
          <w:rFonts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最后对</w:t>
      </w:r>
      <w:r>
        <w:rPr>
          <w:rFonts w:ascii="Times New Roman" w:hAnsi="Times New Roman" w:eastAsia="宋体" w:cs="Times New Roman"/>
          <w:kern w:val="2"/>
          <w:lang w:val="en-US" w:eastAsia="zh-CN" w:bidi="ar-SA"/>
        </w:rPr>
        <w:t>实验</w:t>
      </w:r>
      <w:r>
        <w:rPr>
          <w:rFonts w:hint="eastAsia" w:ascii="Times New Roman" w:hAnsi="Times New Roman" w:eastAsia="宋体" w:cs="Times New Roman"/>
          <w:kern w:val="2"/>
          <w:lang w:val="en-US" w:eastAsia="zh-CN" w:bidi="ar-SA"/>
        </w:rPr>
        <w:t>进行</w:t>
      </w:r>
      <w:r>
        <w:rPr>
          <w:rFonts w:ascii="Times New Roman" w:hAnsi="Times New Roman" w:eastAsia="宋体" w:cs="Times New Roman"/>
          <w:kern w:val="2"/>
          <w:lang w:val="en-US" w:eastAsia="zh-CN" w:bidi="ar-SA"/>
        </w:rPr>
        <w:t>验证</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搭建空压机样机与转子振动测试系统（含电涡流</w:t>
      </w:r>
      <w:bookmarkStart w:id="0" w:name="_GoBack"/>
      <w:bookmarkEnd w:id="0"/>
      <w:r>
        <w:rPr>
          <w:rFonts w:ascii="Times New Roman" w:hAnsi="Times New Roman" w:eastAsia="宋体" w:cs="Times New Roman"/>
          <w:kern w:val="2"/>
          <w:lang w:val="en-US" w:eastAsia="zh-CN" w:bidi="ar-SA"/>
        </w:rPr>
        <w:t>位移传感器、K 型热电偶、ROS 光电转速传感器），制作整周型与三瓣型径向 GFB，通过改变轴承间隙（添加金属垫片）、增强轴承刚度（双波箔结构），开展系统稳定性实验，分析振动特性与转速提升规律。</w:t>
      </w:r>
    </w:p>
    <w:p w14:paraId="22941E31">
      <w:pPr>
        <w:spacing w:before="156" w:beforeLines="50" w:after="156" w:afterLines="50"/>
        <w:rPr>
          <w:rFonts w:hint="eastAsia" w:ascii="Times New Roman" w:hAnsi="Times New Roman" w:eastAsia="黑体" w:cs="Times New Roman"/>
          <w:b/>
          <w:bCs/>
          <w:kern w:val="2"/>
          <w:szCs w:val="21"/>
          <w:lang w:val="en-US" w:eastAsia="zh-CN" w:bidi="ar-SA"/>
        </w:rPr>
      </w:pPr>
      <w:r>
        <w:rPr>
          <w:rFonts w:hint="eastAsia" w:ascii="Times New Roman" w:hAnsi="Times New Roman" w:eastAsia="黑体" w:cs="Times New Roman"/>
          <w:b/>
          <w:bCs/>
          <w:kern w:val="2"/>
          <w:szCs w:val="21"/>
          <w:lang w:val="en-US" w:eastAsia="zh-CN" w:bidi="ar-SA"/>
        </w:rPr>
        <w:t xml:space="preserve">2.1  GFB 设计  </w:t>
      </w:r>
    </w:p>
    <w:p w14:paraId="307450EC">
      <w:pPr>
        <w:pStyle w:val="8"/>
        <w:ind w:firstLine="420" w:firstLineChars="200"/>
        <w:rPr>
          <w:rFonts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首先是对于</w:t>
      </w:r>
      <w:r>
        <w:rPr>
          <w:rFonts w:ascii="Times New Roman" w:hAnsi="Times New Roman" w:eastAsia="宋体" w:cs="Times New Roman"/>
          <w:kern w:val="2"/>
          <w:lang w:val="en-US" w:eastAsia="zh-CN" w:bidi="ar-SA"/>
        </w:rPr>
        <w:t>波箔</w:t>
      </w:r>
      <w:r>
        <w:rPr>
          <w:rFonts w:hint="eastAsia" w:ascii="Times New Roman" w:hAnsi="Times New Roman" w:eastAsia="宋体" w:cs="Times New Roman"/>
          <w:kern w:val="2"/>
          <w:lang w:val="en-US" w:eastAsia="zh-CN" w:bidi="ar-SA"/>
        </w:rPr>
        <w:t>和</w:t>
      </w:r>
      <w:r>
        <w:rPr>
          <w:rFonts w:ascii="Times New Roman" w:hAnsi="Times New Roman" w:eastAsia="宋体" w:cs="Times New Roman"/>
          <w:kern w:val="2"/>
          <w:lang w:val="en-US" w:eastAsia="zh-CN" w:bidi="ar-SA"/>
        </w:rPr>
        <w:t>顶箔材料</w:t>
      </w:r>
      <w:r>
        <w:rPr>
          <w:rFonts w:hint="eastAsia" w:ascii="Times New Roman" w:hAnsi="Times New Roman" w:eastAsia="宋体" w:cs="Times New Roman"/>
          <w:kern w:val="2"/>
          <w:lang w:val="en-US" w:eastAsia="zh-CN" w:bidi="ar-SA"/>
        </w:rPr>
        <w:t>的选择，</w:t>
      </w:r>
      <w:r>
        <w:rPr>
          <w:rFonts w:ascii="Times New Roman" w:hAnsi="Times New Roman" w:eastAsia="宋体" w:cs="Times New Roman"/>
          <w:kern w:val="2"/>
          <w:lang w:val="en-US" w:eastAsia="zh-CN" w:bidi="ar-SA"/>
        </w:rPr>
        <w:t>17-4PH 不锈钢</w:t>
      </w:r>
      <w:r>
        <w:rPr>
          <w:rFonts w:hint="eastAsia" w:ascii="Times New Roman" w:hAnsi="Times New Roman" w:eastAsia="宋体" w:cs="Times New Roman"/>
          <w:kern w:val="2"/>
          <w:lang w:val="en-US" w:eastAsia="zh-CN" w:bidi="ar-SA"/>
        </w:rPr>
        <w:t>的</w:t>
      </w:r>
      <w:r>
        <w:rPr>
          <w:rFonts w:ascii="Times New Roman" w:hAnsi="Times New Roman" w:eastAsia="宋体" w:cs="Times New Roman"/>
          <w:kern w:val="2"/>
          <w:lang w:val="en-US" w:eastAsia="zh-CN" w:bidi="ar-SA"/>
        </w:rPr>
        <w:t>弹性模量</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200GPa、屈服强度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1100MPa，对比 Inconel 718 合金</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 xml:space="preserve"> Inconel 718 合金</w:t>
      </w:r>
      <w:r>
        <w:rPr>
          <w:rFonts w:hint="eastAsia" w:ascii="Times New Roman" w:hAnsi="Times New Roman" w:eastAsia="宋体" w:cs="Times New Roman"/>
          <w:kern w:val="2"/>
          <w:lang w:val="en-US" w:eastAsia="zh-CN" w:bidi="ar-SA"/>
        </w:rPr>
        <w:t>具有</w:t>
      </w:r>
      <w:r>
        <w:rPr>
          <w:rFonts w:ascii="Times New Roman" w:hAnsi="Times New Roman" w:eastAsia="宋体" w:cs="Times New Roman"/>
          <w:kern w:val="2"/>
          <w:lang w:val="en-US" w:eastAsia="zh-CN" w:bidi="ar-SA"/>
        </w:rPr>
        <w:t>高温强度优</w:t>
      </w:r>
      <w:r>
        <w:rPr>
          <w:rFonts w:hint="eastAsia" w:ascii="Times New Roman" w:hAnsi="Times New Roman" w:eastAsia="宋体" w:cs="Times New Roman"/>
          <w:kern w:val="2"/>
          <w:lang w:val="en-US" w:eastAsia="zh-CN" w:bidi="ar-SA"/>
        </w:rPr>
        <w:t>的优点</w:t>
      </w:r>
      <w:r>
        <w:rPr>
          <w:rFonts w:ascii="Times New Roman" w:hAnsi="Times New Roman" w:eastAsia="宋体" w:cs="Times New Roman"/>
          <w:kern w:val="2"/>
          <w:lang w:val="en-US" w:eastAsia="zh-CN" w:bidi="ar-SA"/>
        </w:rPr>
        <w:t>，</w:t>
      </w:r>
      <w:r>
        <w:rPr>
          <w:rFonts w:hint="eastAsia" w:ascii="Times New Roman" w:hAnsi="Times New Roman" w:eastAsia="宋体" w:cs="Times New Roman"/>
          <w:kern w:val="2"/>
          <w:lang w:val="en-US" w:eastAsia="zh-CN" w:bidi="ar-SA"/>
        </w:rPr>
        <w:t>同时其在</w:t>
      </w:r>
      <w:r>
        <w:rPr>
          <w:rFonts w:ascii="Times New Roman" w:hAnsi="Times New Roman" w:eastAsia="宋体" w:cs="Times New Roman"/>
          <w:kern w:val="2"/>
          <w:lang w:val="en-US" w:eastAsia="zh-CN" w:bidi="ar-SA"/>
        </w:rPr>
        <w:t>300℃下弹性模量</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185GPa</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适用性</w:t>
      </w:r>
      <w:r>
        <w:rPr>
          <w:rFonts w:hint="eastAsia" w:ascii="Times New Roman" w:hAnsi="Times New Roman" w:eastAsia="宋体" w:cs="Times New Roman"/>
          <w:kern w:val="2"/>
          <w:lang w:val="en-US" w:eastAsia="zh-CN" w:bidi="ar-SA"/>
        </w:rPr>
        <w:t>好。但</w:t>
      </w:r>
      <w:r>
        <w:rPr>
          <w:rFonts w:ascii="Times New Roman" w:hAnsi="Times New Roman" w:eastAsia="宋体" w:cs="Times New Roman"/>
          <w:kern w:val="2"/>
          <w:lang w:val="en-US" w:eastAsia="zh-CN" w:bidi="ar-SA"/>
        </w:rPr>
        <w:t>通过拉伸实验验证</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17-4PH 在 150℃（空压机工作温度）下延伸率 20%，满足箔片变形需求，且成本仅为 Inconel 718 的 1/3，故确定为首选材料</w:t>
      </w:r>
      <w:r>
        <w:rPr>
          <w:rFonts w:hint="eastAsia" w:ascii="Times New Roman" w:hAnsi="Times New Roman" w:eastAsia="宋体" w:cs="Times New Roman"/>
          <w:kern w:val="2"/>
          <w:lang w:val="en-US" w:eastAsia="zh-CN" w:bidi="ar-SA"/>
        </w:rPr>
        <w:t>。</w:t>
      </w:r>
    </w:p>
    <w:p w14:paraId="23B53608">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波箔采用激光切割</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精度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±0.01mm，顶箔采用电化学抛光</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表面粗糙度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Ra≤0.2μm，</w:t>
      </w:r>
      <w:r>
        <w:rPr>
          <w:rFonts w:hint="eastAsia" w:ascii="Times New Roman" w:hAnsi="Times New Roman" w:eastAsia="宋体" w:cs="Times New Roman"/>
          <w:kern w:val="2"/>
          <w:lang w:val="en-US" w:eastAsia="zh-CN" w:bidi="ar-SA"/>
        </w:rPr>
        <w:t>同时</w:t>
      </w:r>
      <w:r>
        <w:rPr>
          <w:rFonts w:ascii="Times New Roman" w:hAnsi="Times New Roman" w:eastAsia="宋体" w:cs="Times New Roman"/>
          <w:kern w:val="2"/>
          <w:lang w:val="en-US" w:eastAsia="zh-CN" w:bidi="ar-SA"/>
        </w:rPr>
        <w:t>降低气膜摩擦损失，轴承装配采用精密夹具</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同轴度误差≤0.005mm，避免装配偏差导致气膜厚度不均</w:t>
      </w:r>
      <w:r>
        <w:rPr>
          <w:rFonts w:hint="eastAsia" w:ascii="Times New Roman" w:hAnsi="Times New Roman" w:eastAsia="宋体" w:cs="Times New Roman"/>
          <w:kern w:val="2"/>
          <w:lang w:val="en-US" w:eastAsia="zh-CN" w:bidi="ar-SA"/>
        </w:rPr>
        <w:t>，对</w:t>
      </w:r>
      <w:r>
        <w:rPr>
          <w:rFonts w:ascii="Times New Roman" w:hAnsi="Times New Roman" w:eastAsia="宋体" w:cs="Times New Roman"/>
          <w:kern w:val="2"/>
          <w:lang w:val="en-US" w:eastAsia="zh-CN" w:bidi="ar-SA"/>
        </w:rPr>
        <w:t>加工精度</w:t>
      </w:r>
      <w:r>
        <w:rPr>
          <w:rFonts w:hint="eastAsia" w:ascii="Times New Roman" w:hAnsi="Times New Roman" w:eastAsia="宋体" w:cs="Times New Roman"/>
          <w:kern w:val="2"/>
          <w:lang w:val="en-US" w:eastAsia="zh-CN" w:bidi="ar-SA"/>
        </w:rPr>
        <w:t>进行</w:t>
      </w:r>
      <w:r>
        <w:rPr>
          <w:rFonts w:ascii="Times New Roman" w:hAnsi="Times New Roman" w:eastAsia="宋体" w:cs="Times New Roman"/>
          <w:kern w:val="2"/>
          <w:lang w:val="en-US" w:eastAsia="zh-CN" w:bidi="ar-SA"/>
        </w:rPr>
        <w:t>控制</w:t>
      </w:r>
      <w:r>
        <w:rPr>
          <w:rFonts w:hint="eastAsia" w:ascii="Times New Roman" w:hAnsi="Times New Roman" w:eastAsia="宋体" w:cs="Times New Roman"/>
          <w:kern w:val="2"/>
          <w:lang w:val="en-US" w:eastAsia="zh-CN" w:bidi="ar-SA"/>
        </w:rPr>
        <w:t>。</w:t>
      </w:r>
    </w:p>
    <w:p w14:paraId="1BC72B85">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稀薄效应修正模型：Reynolds 方程补充 “滑移边界条件” 修正公式为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1DDD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Borders>
              <w:top w:val="nil"/>
              <w:left w:val="nil"/>
              <w:bottom w:val="nil"/>
              <w:right w:val="nil"/>
            </w:tcBorders>
            <w:vAlign w:val="center"/>
          </w:tcPr>
          <w:p w14:paraId="02ADDDEB">
            <w:pPr>
              <w:pStyle w:val="8"/>
              <w:jc w:val="center"/>
              <w:rPr>
                <w:rFonts w:ascii="Times New Roman" w:hAnsi="Times New Roman" w:eastAsia="宋体" w:cs="Times New Roman"/>
                <w:kern w:val="2"/>
                <w:position w:val="-28"/>
                <w:vertAlign w:val="baseline"/>
                <w:lang w:val="en-US" w:eastAsia="zh-CN" w:bidi="ar-SA"/>
              </w:rPr>
            </w:pPr>
          </w:p>
        </w:tc>
        <w:tc>
          <w:tcPr>
            <w:tcW w:w="3081" w:type="dxa"/>
            <w:tcBorders>
              <w:top w:val="nil"/>
              <w:left w:val="nil"/>
              <w:bottom w:val="nil"/>
              <w:right w:val="nil"/>
            </w:tcBorders>
            <w:vAlign w:val="center"/>
          </w:tcPr>
          <w:p w14:paraId="019E23F7">
            <w:pPr>
              <w:pStyle w:val="8"/>
              <w:jc w:val="center"/>
              <w:rPr>
                <w:rFonts w:ascii="Times New Roman" w:hAnsi="Times New Roman" w:eastAsia="宋体" w:cs="Times New Roman"/>
                <w:kern w:val="2"/>
                <w:position w:val="-28"/>
                <w:vertAlign w:val="baseline"/>
                <w:lang w:val="en-US" w:eastAsia="zh-CN" w:bidi="ar-SA"/>
              </w:rPr>
            </w:pPr>
            <w:r>
              <w:rPr>
                <w:rFonts w:ascii="Times New Roman" w:hAnsi="Times New Roman" w:eastAsia="宋体" w:cs="Times New Roman"/>
                <w:kern w:val="2"/>
                <w:position w:val="-28"/>
                <w:lang w:val="en-US" w:eastAsia="zh-CN" w:bidi="ar-SA"/>
              </w:rPr>
              <w:object>
                <v:shape id="_x0000_i1035" o:spt="75" type="#_x0000_t75" style="height:33pt;width:77pt;" o:ole="t" filled="f" o:preferrelative="t" stroked="f" coordsize="21600,21600">
                  <v:path/>
                  <v:fill on="f" focussize="0,0"/>
                  <v:stroke on="f"/>
                  <v:imagedata r:id="rId5" o:title=""/>
                  <o:lock v:ext="edit" aspectratio="f"/>
                  <w10:wrap type="none"/>
                  <w10:anchorlock/>
                </v:shape>
                <o:OLEObject Type="Embed" ProgID="Equation.DSMT4" ShapeID="_x0000_i1035" DrawAspect="Content" ObjectID="_1468075725" r:id="rId4">
                  <o:LockedField>false</o:LockedField>
                </o:OLEObject>
              </w:object>
            </w:r>
          </w:p>
        </w:tc>
        <w:tc>
          <w:tcPr>
            <w:tcW w:w="3081" w:type="dxa"/>
            <w:tcBorders>
              <w:top w:val="nil"/>
              <w:left w:val="nil"/>
              <w:bottom w:val="nil"/>
              <w:right w:val="nil"/>
            </w:tcBorders>
            <w:vAlign w:val="center"/>
          </w:tcPr>
          <w:p w14:paraId="17550936">
            <w:pPr>
              <w:pStyle w:val="8"/>
              <w:jc w:val="right"/>
              <w:rPr>
                <w:rFonts w:hint="default" w:ascii="Times New Roman" w:hAnsi="Times New Roman" w:eastAsia="宋体" w:cs="Times New Roman"/>
                <w:kern w:val="2"/>
                <w:position w:val="-28"/>
                <w:vertAlign w:val="baseline"/>
                <w:lang w:val="en-US" w:eastAsia="zh-CN" w:bidi="ar-SA"/>
              </w:rPr>
            </w:pPr>
            <w:r>
              <w:rPr>
                <w:rFonts w:hint="eastAsia" w:ascii="Times New Roman" w:hAnsi="Times New Roman" w:eastAsia="宋体" w:cs="Times New Roman"/>
                <w:kern w:val="2"/>
                <w:position w:val="-28"/>
                <w:vertAlign w:val="baseline"/>
                <w:lang w:val="en-US" w:eastAsia="zh-CN" w:bidi="ar-SA"/>
              </w:rPr>
              <w:t>（1）</w:t>
            </w:r>
          </w:p>
        </w:tc>
      </w:tr>
    </w:tbl>
    <w:p w14:paraId="3160AEE8">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position w:val="-6"/>
          <w:lang w:val="en-US" w:eastAsia="zh-CN" w:bidi="ar-SA"/>
        </w:rPr>
        <w:object>
          <v:shape id="_x0000_i1026" o:spt="75" type="#_x0000_t75" style="height:11pt;width:12pt;" o:ole="t" filled="f" o:preferrelative="t" stroked="f" coordsize="21600,21600">
            <v:path/>
            <v:fill on="f" focussize="0,0"/>
            <v:stroke on="f"/>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宋体" w:cs="Times New Roman"/>
          <w:kern w:val="2"/>
          <w:lang w:val="en-US" w:eastAsia="zh-CN" w:bidi="ar-SA"/>
        </w:rPr>
        <w:t>为动</w:t>
      </w:r>
      <w:r>
        <w:rPr>
          <w:rFonts w:ascii="Times New Roman" w:hAnsi="Times New Roman" w:eastAsia="宋体" w:cs="Times New Roman"/>
          <w:kern w:val="2"/>
          <w:lang w:val="en-US" w:eastAsia="zh-CN" w:bidi="ar-SA"/>
        </w:rPr>
        <w:t>量系数，取 0.85</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position w:val="-6"/>
          <w:lang w:val="en-US" w:eastAsia="zh-CN" w:bidi="ar-SA"/>
        </w:rPr>
        <w:object>
          <v:shape id="_x0000_i1027" o:spt="75" type="#_x0000_t75" style="height:13.95pt;width:11pt;" o:ole="t" filled="f" o:preferrelative="t" stroked="f" coordsize="21600,21600">
            <v:path/>
            <v:fill on="f" focussize="0,0"/>
            <v:stroke on="f"/>
            <v:imagedata r:id="rId9" o:title=""/>
            <o:lock v:ext="edit" aspectratio="f"/>
            <w10:wrap type="none"/>
            <w10:anchorlock/>
          </v:shape>
          <o:OLEObject Type="Embed" ProgID="Equation.DSMT4" ShapeID="_x0000_i1027" DrawAspect="Content" ObjectID="_1468075727" r:id="rId8">
            <o:LockedField>false</o:LockedField>
          </o:OLEObject>
        </w:object>
      </w:r>
      <w:r>
        <w:rPr>
          <w:rFonts w:ascii="Times New Roman" w:hAnsi="Times New Roman" w:eastAsia="宋体" w:cs="Times New Roman"/>
          <w:kern w:val="2"/>
          <w:lang w:val="en-US" w:eastAsia="zh-CN" w:bidi="ar-SA"/>
        </w:rPr>
        <w:t>为气体分子平均自由程，修正后气膜压力计算值与实验值偏差从 8% 降至 3%。</w:t>
      </w:r>
    </w:p>
    <w:p w14:paraId="4312FE0B">
      <w:pPr>
        <w:spacing w:before="156" w:beforeLines="50" w:after="156" w:afterLines="50"/>
        <w:rPr>
          <w:rFonts w:hint="eastAsia" w:ascii="Times New Roman" w:hAnsi="Times New Roman" w:eastAsia="黑体" w:cs="Times New Roman"/>
          <w:b/>
          <w:bCs/>
          <w:kern w:val="2"/>
          <w:szCs w:val="21"/>
          <w:lang w:val="en-US" w:eastAsia="zh-CN" w:bidi="ar-SA"/>
        </w:rPr>
      </w:pPr>
      <w:r>
        <w:rPr>
          <w:rFonts w:hint="eastAsia" w:ascii="Times New Roman" w:hAnsi="Times New Roman" w:eastAsia="黑体" w:cs="Times New Roman"/>
          <w:b/>
          <w:bCs/>
          <w:kern w:val="2"/>
          <w:szCs w:val="21"/>
          <w:lang w:val="en-US" w:eastAsia="zh-CN" w:bidi="ar-SA"/>
        </w:rPr>
        <w:t>2.2  电机损耗与控制参数细化</w:t>
      </w:r>
    </w:p>
    <w:p w14:paraId="370ED169">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铜耗</w:t>
      </w:r>
      <w:r>
        <w:rPr>
          <w:rFonts w:hint="eastAsia" w:ascii="Times New Roman" w:hAnsi="Times New Roman" w:eastAsia="宋体" w:cs="Times New Roman"/>
          <w:kern w:val="2"/>
          <w:lang w:val="en-US" w:eastAsia="zh-CN" w:bidi="ar-SA"/>
        </w:rPr>
        <w:t>的</w:t>
      </w:r>
      <w:r>
        <w:rPr>
          <w:rFonts w:ascii="Times New Roman" w:hAnsi="Times New Roman" w:eastAsia="宋体" w:cs="Times New Roman"/>
          <w:kern w:val="2"/>
          <w:lang w:val="en-US" w:eastAsia="zh-CN" w:bidi="ar-SA"/>
        </w:rPr>
        <w:t xml:space="preserve">计算考虑集肤效应修正，采用公式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EF7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vAlign w:val="center"/>
          </w:tcPr>
          <w:p w14:paraId="628E0B80">
            <w:pPr>
              <w:pStyle w:val="8"/>
              <w:jc w:val="center"/>
              <w:rPr>
                <w:rFonts w:ascii="Times New Roman" w:hAnsi="Times New Roman" w:eastAsia="宋体" w:cs="Times New Roman"/>
                <w:kern w:val="2"/>
                <w:position w:val="-28"/>
                <w:vertAlign w:val="baseline"/>
                <w:lang w:val="en-US" w:eastAsia="zh-CN" w:bidi="ar-SA"/>
              </w:rPr>
            </w:pPr>
          </w:p>
        </w:tc>
        <w:tc>
          <w:tcPr>
            <w:tcW w:w="3081" w:type="dxa"/>
            <w:tcBorders>
              <w:top w:val="nil"/>
              <w:left w:val="nil"/>
              <w:bottom w:val="nil"/>
              <w:right w:val="nil"/>
            </w:tcBorders>
            <w:vAlign w:val="center"/>
          </w:tcPr>
          <w:p w14:paraId="78182350">
            <w:pPr>
              <w:pStyle w:val="8"/>
              <w:jc w:val="center"/>
              <w:rPr>
                <w:rFonts w:ascii="Times New Roman" w:hAnsi="Times New Roman" w:eastAsia="宋体" w:cs="Times New Roman"/>
                <w:kern w:val="2"/>
                <w:position w:val="-28"/>
                <w:vertAlign w:val="baseline"/>
                <w:lang w:val="en-US" w:eastAsia="zh-CN" w:bidi="ar-SA"/>
              </w:rPr>
            </w:pPr>
            <w:r>
              <w:rPr>
                <w:rFonts w:ascii="Times New Roman" w:hAnsi="Times New Roman" w:eastAsia="宋体" w:cs="Times New Roman"/>
                <w:kern w:val="2"/>
                <w:position w:val="-14"/>
                <w:lang w:val="en-US" w:eastAsia="zh-CN" w:bidi="ar-SA"/>
              </w:rPr>
              <w:object>
                <v:shape id="_x0000_i1037" o:spt="75" type="#_x0000_t75" style="height:20pt;width:88pt;" o:ole="t" filled="f" o:preferrelative="t" stroked="f" coordsize="21600,21600">
                  <v:path/>
                  <v:fill on="f" focussize="0,0"/>
                  <v:stroke on="f"/>
                  <v:imagedata r:id="rId11" o:title=""/>
                  <o:lock v:ext="edit" aspectratio="f"/>
                  <w10:wrap type="none"/>
                  <w10:anchorlock/>
                </v:shape>
                <o:OLEObject Type="Embed" ProgID="Equation.DSMT4" ShapeID="_x0000_i1037" DrawAspect="Content" ObjectID="_1468075728" r:id="rId10">
                  <o:LockedField>false</o:LockedField>
                </o:OLEObject>
              </w:object>
            </w:r>
          </w:p>
        </w:tc>
        <w:tc>
          <w:tcPr>
            <w:tcW w:w="3081" w:type="dxa"/>
            <w:tcBorders>
              <w:top w:val="nil"/>
              <w:left w:val="nil"/>
              <w:bottom w:val="nil"/>
              <w:right w:val="nil"/>
            </w:tcBorders>
            <w:vAlign w:val="center"/>
          </w:tcPr>
          <w:p w14:paraId="5622BB62">
            <w:pPr>
              <w:pStyle w:val="8"/>
              <w:jc w:val="right"/>
              <w:rPr>
                <w:rFonts w:hint="default" w:ascii="Times New Roman" w:hAnsi="Times New Roman" w:eastAsia="宋体" w:cs="Times New Roman"/>
                <w:kern w:val="2"/>
                <w:position w:val="-28"/>
                <w:vertAlign w:val="baseline"/>
                <w:lang w:val="en-US" w:eastAsia="zh-CN" w:bidi="ar-SA"/>
              </w:rPr>
            </w:pPr>
            <w:r>
              <w:rPr>
                <w:rFonts w:hint="eastAsia" w:ascii="Times New Roman" w:hAnsi="Times New Roman" w:eastAsia="宋体" w:cs="Times New Roman"/>
                <w:kern w:val="2"/>
                <w:position w:val="-28"/>
                <w:vertAlign w:val="baseline"/>
                <w:lang w:val="en-US" w:eastAsia="zh-CN" w:bidi="ar-SA"/>
              </w:rPr>
              <w:t>（2）</w:t>
            </w:r>
          </w:p>
        </w:tc>
      </w:tr>
    </w:tbl>
    <w:p w14:paraId="6B0904AC">
      <w:pPr>
        <w:pStyle w:val="8"/>
        <w:ind w:firstLine="420" w:firstLineChars="200"/>
        <w:rPr>
          <w:rFonts w:hint="default" w:ascii="Times New Roman" w:hAnsi="Times New Roman" w:eastAsia="宋体" w:cs="Times New Roman"/>
          <w:kern w:val="2"/>
          <w:position w:val="-14"/>
          <w:lang w:val="en-US" w:eastAsia="zh-CN" w:bidi="ar-SA"/>
        </w:rPr>
      </w:pPr>
      <w:r>
        <w:rPr>
          <w:rFonts w:hint="eastAsia" w:ascii="Times New Roman" w:hAnsi="Times New Roman" w:eastAsia="宋体" w:cs="Times New Roman"/>
          <w:kern w:val="2"/>
          <w:position w:val="-12"/>
          <w:lang w:val="en-US" w:eastAsia="zh-CN" w:bidi="ar-SA"/>
        </w:rPr>
        <w:object>
          <v:shape id="_x0000_i1029" o:spt="75" type="#_x0000_t75" style="height:18pt;width:16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宋体" w:cs="Times New Roman"/>
          <w:kern w:val="2"/>
          <w:position w:val="-14"/>
          <w:lang w:val="en-US" w:eastAsia="zh-CN" w:bidi="ar-SA"/>
        </w:rPr>
        <w:t>为集肤效应系数</w:t>
      </w:r>
    </w:p>
    <w:p w14:paraId="613A861F">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铁耗计算</w:t>
      </w:r>
      <w:r>
        <w:rPr>
          <w:rFonts w:hint="eastAsia" w:ascii="Times New Roman" w:hAnsi="Times New Roman" w:eastAsia="宋体" w:cs="Times New Roman"/>
          <w:kern w:val="2"/>
          <w:lang w:val="en-US" w:eastAsia="zh-CN" w:bidi="ar-SA"/>
        </w:rPr>
        <w:t>修正</w:t>
      </w:r>
      <w:r>
        <w:rPr>
          <w:rFonts w:ascii="Times New Roman" w:hAnsi="Times New Roman" w:eastAsia="宋体" w:cs="Times New Roman"/>
          <w:kern w:val="2"/>
          <w:lang w:val="en-US" w:eastAsia="zh-CN" w:bidi="ar-SA"/>
        </w:rPr>
        <w:t xml:space="preserve">公式为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3896"/>
        <w:gridCol w:w="2714"/>
      </w:tblGrid>
      <w:tr w14:paraId="76CD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vAlign w:val="center"/>
          </w:tcPr>
          <w:p w14:paraId="7F4E4D09">
            <w:pPr>
              <w:pStyle w:val="8"/>
              <w:jc w:val="center"/>
              <w:rPr>
                <w:rFonts w:ascii="Times New Roman" w:hAnsi="Times New Roman" w:eastAsia="宋体" w:cs="Times New Roman"/>
                <w:kern w:val="2"/>
                <w:position w:val="-28"/>
                <w:vertAlign w:val="baseline"/>
                <w:lang w:val="en-US" w:eastAsia="zh-CN" w:bidi="ar-SA"/>
              </w:rPr>
            </w:pPr>
          </w:p>
        </w:tc>
        <w:tc>
          <w:tcPr>
            <w:tcW w:w="3081" w:type="dxa"/>
            <w:tcBorders>
              <w:top w:val="nil"/>
              <w:left w:val="nil"/>
              <w:bottom w:val="nil"/>
              <w:right w:val="nil"/>
            </w:tcBorders>
            <w:vAlign w:val="center"/>
          </w:tcPr>
          <w:p w14:paraId="5FB17A2F">
            <w:pPr>
              <w:pStyle w:val="8"/>
              <w:jc w:val="center"/>
              <w:rPr>
                <w:rFonts w:ascii="Times New Roman" w:hAnsi="Times New Roman" w:eastAsia="宋体" w:cs="Times New Roman"/>
                <w:kern w:val="2"/>
                <w:position w:val="-28"/>
                <w:vertAlign w:val="baseline"/>
                <w:lang w:val="en-US" w:eastAsia="zh-CN" w:bidi="ar-SA"/>
              </w:rPr>
            </w:pPr>
            <w:r>
              <w:rPr>
                <w:rFonts w:ascii="Times New Roman" w:hAnsi="Times New Roman" w:eastAsia="宋体" w:cs="Times New Roman"/>
                <w:kern w:val="2"/>
                <w:position w:val="-36"/>
                <w:lang w:val="en-US" w:eastAsia="zh-CN" w:bidi="ar-SA"/>
              </w:rPr>
              <w:object>
                <v:shape id="_x0000_i1040" o:spt="75" type="#_x0000_t75" style="height:42pt;width:184pt;" o:ole="t" filled="f" o:preferrelative="t" stroked="f" coordsize="21600,21600">
                  <v:path/>
                  <v:fill on="f" focussize="0,0"/>
                  <v:stroke on="f"/>
                  <v:imagedata r:id="rId15" o:title=""/>
                  <o:lock v:ext="edit" aspectratio="f"/>
                  <w10:wrap type="none"/>
                  <w10:anchorlock/>
                </v:shape>
                <o:OLEObject Type="Embed" ProgID="Equation.DSMT4" ShapeID="_x0000_i1040" DrawAspect="Content" ObjectID="_1468075730" r:id="rId14">
                  <o:LockedField>false</o:LockedField>
                </o:OLEObject>
              </w:object>
            </w:r>
          </w:p>
        </w:tc>
        <w:tc>
          <w:tcPr>
            <w:tcW w:w="3081" w:type="dxa"/>
            <w:tcBorders>
              <w:top w:val="nil"/>
              <w:left w:val="nil"/>
              <w:bottom w:val="nil"/>
              <w:right w:val="nil"/>
            </w:tcBorders>
            <w:vAlign w:val="center"/>
          </w:tcPr>
          <w:p w14:paraId="68360D81">
            <w:pPr>
              <w:pStyle w:val="8"/>
              <w:jc w:val="right"/>
              <w:rPr>
                <w:rFonts w:hint="default" w:ascii="Times New Roman" w:hAnsi="Times New Roman" w:eastAsia="宋体" w:cs="Times New Roman"/>
                <w:kern w:val="2"/>
                <w:position w:val="-28"/>
                <w:vertAlign w:val="baseline"/>
                <w:lang w:val="en-US" w:eastAsia="zh-CN" w:bidi="ar-SA"/>
              </w:rPr>
            </w:pPr>
            <w:r>
              <w:rPr>
                <w:rFonts w:hint="eastAsia" w:ascii="Times New Roman" w:hAnsi="Times New Roman" w:eastAsia="宋体" w:cs="Times New Roman"/>
                <w:kern w:val="2"/>
                <w:position w:val="-28"/>
                <w:vertAlign w:val="baseline"/>
                <w:lang w:val="en-US" w:eastAsia="zh-CN" w:bidi="ar-SA"/>
              </w:rPr>
              <w:t>（3）</w:t>
            </w:r>
          </w:p>
        </w:tc>
      </w:tr>
    </w:tbl>
    <w:p w14:paraId="4A575F32">
      <w:pPr>
        <w:pStyle w:val="8"/>
        <w:ind w:firstLine="420" w:firstLineChars="200"/>
        <w:rPr>
          <w:rFonts w:hint="eastAsia"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机械损耗</w:t>
      </w:r>
      <w:r>
        <w:rPr>
          <w:rFonts w:hint="eastAsia" w:ascii="Times New Roman" w:hAnsi="Times New Roman" w:eastAsia="宋体" w:cs="Times New Roman"/>
          <w:kern w:val="2"/>
          <w:lang w:val="en-US" w:eastAsia="zh-CN" w:bidi="ar-SA"/>
        </w:rPr>
        <w:t>包</w:t>
      </w:r>
      <w:r>
        <w:rPr>
          <w:rFonts w:ascii="Times New Roman" w:hAnsi="Times New Roman" w:eastAsia="宋体" w:cs="Times New Roman"/>
          <w:kern w:val="2"/>
          <w:lang w:val="en-US" w:eastAsia="zh-CN" w:bidi="ar-SA"/>
        </w:rPr>
        <w:t>含气膜摩擦损耗</w:t>
      </w:r>
      <w:r>
        <w:rPr>
          <w:rFonts w:hint="eastAsia" w:ascii="Times New Roman" w:hAnsi="Times New Roman" w:eastAsia="宋体" w:cs="Times New Roman"/>
          <w:kern w:val="2"/>
          <w:lang w:val="en-US" w:eastAsia="zh-CN" w:bidi="ar-SA"/>
        </w:rPr>
        <w:t>，计算公示为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78AC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vAlign w:val="center"/>
          </w:tcPr>
          <w:p w14:paraId="0C32C983">
            <w:pPr>
              <w:pStyle w:val="8"/>
              <w:jc w:val="center"/>
              <w:rPr>
                <w:rFonts w:ascii="Times New Roman" w:hAnsi="Times New Roman" w:eastAsia="宋体" w:cs="Times New Roman"/>
                <w:kern w:val="2"/>
                <w:position w:val="-28"/>
                <w:vertAlign w:val="baseline"/>
                <w:lang w:val="en-US" w:eastAsia="zh-CN" w:bidi="ar-SA"/>
              </w:rPr>
            </w:pPr>
          </w:p>
        </w:tc>
        <w:tc>
          <w:tcPr>
            <w:tcW w:w="3081" w:type="dxa"/>
            <w:tcBorders>
              <w:top w:val="nil"/>
              <w:left w:val="nil"/>
              <w:bottom w:val="nil"/>
              <w:right w:val="nil"/>
            </w:tcBorders>
            <w:vAlign w:val="center"/>
          </w:tcPr>
          <w:p w14:paraId="65AED669">
            <w:pPr>
              <w:pStyle w:val="8"/>
              <w:jc w:val="center"/>
              <w:rPr>
                <w:rFonts w:ascii="Times New Roman" w:hAnsi="Times New Roman" w:eastAsia="宋体" w:cs="Times New Roman"/>
                <w:kern w:val="2"/>
                <w:position w:val="-28"/>
                <w:vertAlign w:val="baseline"/>
                <w:lang w:val="en-US" w:eastAsia="zh-CN" w:bidi="ar-SA"/>
              </w:rPr>
            </w:pPr>
            <w:r>
              <w:rPr>
                <w:rFonts w:ascii="Times New Roman" w:hAnsi="Times New Roman" w:eastAsia="宋体" w:cs="Times New Roman"/>
                <w:kern w:val="2"/>
                <w:position w:val="-14"/>
                <w:lang w:val="en-US" w:eastAsia="zh-CN" w:bidi="ar-SA"/>
              </w:rPr>
              <w:object>
                <v:shape id="_x0000_i1045" o:spt="75" type="#_x0000_t75" style="height:20pt;width:85.95pt;" o:ole="t" filled="f" o:preferrelative="t" stroked="f" coordsize="21600,21600">
                  <v:path/>
                  <v:fill on="f" focussize="0,0"/>
                  <v:stroke on="f"/>
                  <v:imagedata r:id="rId17" o:title=""/>
                  <o:lock v:ext="edit" aspectratio="f"/>
                  <w10:wrap type="none"/>
                  <w10:anchorlock/>
                </v:shape>
                <o:OLEObject Type="Embed" ProgID="Equation.DSMT4" ShapeID="_x0000_i1045" DrawAspect="Content" ObjectID="_1468075731" r:id="rId16">
                  <o:LockedField>false</o:LockedField>
                </o:OLEObject>
              </w:object>
            </w:r>
          </w:p>
        </w:tc>
        <w:tc>
          <w:tcPr>
            <w:tcW w:w="3081" w:type="dxa"/>
            <w:tcBorders>
              <w:top w:val="nil"/>
              <w:left w:val="nil"/>
              <w:bottom w:val="nil"/>
              <w:right w:val="nil"/>
            </w:tcBorders>
            <w:vAlign w:val="center"/>
          </w:tcPr>
          <w:p w14:paraId="5FD3C7C3">
            <w:pPr>
              <w:pStyle w:val="8"/>
              <w:jc w:val="right"/>
              <w:rPr>
                <w:rFonts w:hint="default" w:ascii="Times New Roman" w:hAnsi="Times New Roman" w:eastAsia="宋体" w:cs="Times New Roman"/>
                <w:kern w:val="2"/>
                <w:position w:val="-28"/>
                <w:vertAlign w:val="baseline"/>
                <w:lang w:val="en-US" w:eastAsia="zh-CN" w:bidi="ar-SA"/>
              </w:rPr>
            </w:pPr>
            <w:r>
              <w:rPr>
                <w:rFonts w:hint="eastAsia" w:ascii="Times New Roman" w:hAnsi="Times New Roman" w:eastAsia="宋体" w:cs="Times New Roman"/>
                <w:kern w:val="2"/>
                <w:position w:val="-28"/>
                <w:vertAlign w:val="baseline"/>
                <w:lang w:val="en-US" w:eastAsia="zh-CN" w:bidi="ar-SA"/>
              </w:rPr>
              <w:t>（4）</w:t>
            </w:r>
          </w:p>
        </w:tc>
      </w:tr>
    </w:tbl>
    <w:p w14:paraId="5CE7ECB0">
      <w:pPr>
        <w:pStyle w:val="8"/>
        <w:ind w:firstLine="420" w:firstLineChars="200"/>
        <w:jc w:val="center"/>
        <w:rPr>
          <w:rFonts w:ascii="Times New Roman" w:hAnsi="Times New Roman" w:eastAsia="宋体" w:cs="Times New Roman"/>
          <w:kern w:val="2"/>
          <w:position w:val="-14"/>
          <w:lang w:val="en-US" w:eastAsia="zh-CN" w:bidi="ar-SA"/>
        </w:rPr>
      </w:pPr>
    </w:p>
    <w:p w14:paraId="34DCB525">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position w:val="-10"/>
          <w:lang w:val="en-US" w:eastAsia="zh-CN" w:bidi="ar-SA"/>
        </w:rPr>
        <w:object>
          <v:shape id="_x0000_i1033" o:spt="75" type="#_x0000_t75" style="height:13pt;width:12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2" r:id="rId18">
            <o:LockedField>false</o:LockedField>
          </o:OLEObject>
        </w:object>
      </w:r>
      <w:r>
        <w:rPr>
          <w:rFonts w:ascii="Times New Roman" w:hAnsi="Times New Roman" w:eastAsia="宋体" w:cs="Times New Roman"/>
          <w:kern w:val="2"/>
          <w:lang w:val="en-US" w:eastAsia="zh-CN" w:bidi="ar-SA"/>
        </w:rPr>
        <w:t>空气黏度、 c  气膜厚度</w:t>
      </w:r>
    </w:p>
    <w:p w14:paraId="4EF96EC9">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双PI环参数整定</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采用Ziegler-Nichols法</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电流环</w:t>
      </w:r>
      <w:r>
        <w:rPr>
          <w:rFonts w:hint="eastAsia" w:ascii="Times New Roman" w:hAnsi="Times New Roman" w:eastAsia="宋体" w:cs="Times New Roman"/>
          <w:kern w:val="2"/>
          <w:lang w:val="en-US" w:eastAsia="zh-CN" w:bidi="ar-SA"/>
        </w:rPr>
        <w:t>的</w:t>
      </w:r>
      <w:r>
        <w:rPr>
          <w:rFonts w:ascii="Times New Roman" w:hAnsi="Times New Roman" w:eastAsia="宋体" w:cs="Times New Roman"/>
          <w:kern w:val="2"/>
          <w:lang w:val="en-US" w:eastAsia="zh-CN" w:bidi="ar-SA"/>
        </w:rPr>
        <w:t>比例系数K_p=0.8，积分时间 T_i=0.002s，阶跃响应超调量≤5%，调节时间≤0.005s</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转速环</w:t>
      </w:r>
      <w:r>
        <w:rPr>
          <w:rFonts w:hint="eastAsia" w:ascii="Times New Roman" w:hAnsi="Times New Roman" w:eastAsia="宋体" w:cs="Times New Roman"/>
          <w:kern w:val="2"/>
          <w:lang w:val="en-US" w:eastAsia="zh-CN" w:bidi="ar-SA"/>
        </w:rPr>
        <w:t>的比例系数</w:t>
      </w:r>
      <w:r>
        <w:rPr>
          <w:rFonts w:ascii="Times New Roman" w:hAnsi="Times New Roman" w:eastAsia="宋体" w:cs="Times New Roman"/>
          <w:kern w:val="2"/>
          <w:lang w:val="en-US" w:eastAsia="zh-CN" w:bidi="ar-SA"/>
        </w:rPr>
        <w:t>K_p=0.3，T_i=0.02s，负载扰动（从 50%→100% 额定负载）下转速恢复时间≤0.05s</w:t>
      </w:r>
      <w:r>
        <w:rPr>
          <w:rFonts w:hint="eastAsia" w:ascii="Times New Roman" w:hAnsi="Times New Roman" w:eastAsia="宋体" w:cs="Times New Roman"/>
          <w:kern w:val="2"/>
          <w:lang w:val="en-US" w:eastAsia="zh-CN" w:bidi="ar-SA"/>
        </w:rPr>
        <w:t>。</w:t>
      </w:r>
    </w:p>
    <w:p w14:paraId="54EE1711">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lang w:val="en-US" w:eastAsia="zh-CN" w:bidi="ar-SA"/>
        </w:rPr>
        <w:t>电机控制线采用双绞线</w:t>
      </w:r>
      <w:r>
        <w:rPr>
          <w:rFonts w:hint="eastAsia" w:ascii="Times New Roman" w:hAnsi="Times New Roman" w:eastAsia="宋体" w:cs="Times New Roman"/>
          <w:kern w:val="2"/>
          <w:lang w:val="en-US" w:eastAsia="zh-CN" w:bidi="ar-SA"/>
        </w:rPr>
        <w:t>，用于</w:t>
      </w:r>
      <w:r>
        <w:rPr>
          <w:rFonts w:ascii="Times New Roman" w:hAnsi="Times New Roman" w:eastAsia="宋体" w:cs="Times New Roman"/>
          <w:kern w:val="2"/>
          <w:lang w:val="en-US" w:eastAsia="zh-CN" w:bidi="ar-SA"/>
        </w:rPr>
        <w:t>减少电磁干扰，数据采集系统添加 50Hz 陷波滤波器</w:t>
      </w:r>
      <w:r>
        <w:rPr>
          <w:rFonts w:hint="eastAsia" w:ascii="Times New Roman" w:hAnsi="Times New Roman" w:eastAsia="宋体" w:cs="Times New Roman"/>
          <w:kern w:val="2"/>
          <w:lang w:val="en-US" w:eastAsia="zh-CN" w:bidi="ar-SA"/>
        </w:rPr>
        <w:t>用于</w:t>
      </w:r>
      <w:r>
        <w:rPr>
          <w:rFonts w:ascii="Times New Roman" w:hAnsi="Times New Roman" w:eastAsia="宋体" w:cs="Times New Roman"/>
          <w:kern w:val="2"/>
          <w:lang w:val="en-US" w:eastAsia="zh-CN" w:bidi="ar-SA"/>
        </w:rPr>
        <w:t>抑制电网干扰，实验台架采用隔振垫</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固有频率</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5Hz，</w:t>
      </w:r>
      <w:r>
        <w:rPr>
          <w:rFonts w:hint="eastAsia" w:ascii="Times New Roman" w:hAnsi="Times New Roman" w:eastAsia="宋体" w:cs="Times New Roman"/>
          <w:kern w:val="2"/>
          <w:lang w:val="en-US" w:eastAsia="zh-CN" w:bidi="ar-SA"/>
        </w:rPr>
        <w:t>可以</w:t>
      </w:r>
      <w:r>
        <w:rPr>
          <w:rFonts w:ascii="Times New Roman" w:hAnsi="Times New Roman" w:eastAsia="宋体" w:cs="Times New Roman"/>
          <w:kern w:val="2"/>
          <w:lang w:val="en-US" w:eastAsia="zh-CN" w:bidi="ar-SA"/>
        </w:rPr>
        <w:t>减少地面振动传递，振动测量信噪比从 20dB 提升至 40dB。</w:t>
      </w:r>
    </w:p>
    <w:p w14:paraId="0FA78BFC">
      <w:pPr>
        <w:spacing w:before="156" w:beforeLines="50" w:after="156" w:afterLines="50"/>
        <w:rPr>
          <w:rFonts w:ascii="Times New Roman" w:hAnsi="Times New Roman" w:eastAsia="宋体" w:cs="Times New Roman"/>
          <w:kern w:val="2"/>
          <w:lang w:val="en-US" w:eastAsia="zh-CN" w:bidi="ar-SA"/>
        </w:rPr>
      </w:pPr>
      <w:r>
        <w:rPr>
          <w:rFonts w:hint="eastAsia" w:ascii="Times New Roman" w:hAnsi="Times New Roman" w:eastAsia="黑体" w:cs="Times New Roman"/>
          <w:b/>
          <w:bCs/>
          <w:kern w:val="2"/>
          <w:szCs w:val="21"/>
          <w:lang w:val="en-US" w:eastAsia="zh-CN" w:bidi="ar-SA"/>
        </w:rPr>
        <w:t>2.3  实验系统扩展设计</w:t>
      </w:r>
    </w:p>
    <w:p w14:paraId="68121852">
      <w:pPr>
        <w:pStyle w:val="8"/>
        <w:ind w:firstLine="420" w:firstLineChars="200"/>
        <w:rPr>
          <w:rFonts w:ascii="Times New Roman" w:hAnsi="Times New Roman" w:eastAsia="宋体" w:cs="Times New Roman"/>
          <w:kern w:val="2"/>
          <w:lang w:val="en-US" w:eastAsia="zh-CN" w:bidi="ar-SA"/>
        </w:rPr>
      </w:pPr>
      <w:r>
        <w:rPr>
          <w:rFonts w:hint="eastAsia" w:ascii="Times New Roman" w:hAnsi="Times New Roman" w:eastAsia="宋体" w:cs="Times New Roman"/>
          <w:kern w:val="2"/>
          <w:lang w:val="en-US" w:eastAsia="zh-CN" w:bidi="ar-SA"/>
        </w:rPr>
        <w:t>进行</w:t>
      </w:r>
      <w:r>
        <w:rPr>
          <w:rFonts w:ascii="Times New Roman" w:hAnsi="Times New Roman" w:eastAsia="宋体" w:cs="Times New Roman"/>
          <w:kern w:val="2"/>
          <w:lang w:val="en-US" w:eastAsia="zh-CN" w:bidi="ar-SA"/>
        </w:rPr>
        <w:t>多环境工况实验装置</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补充 “高低温环境舱”</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温度范围</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- 40℃~80℃，控温精度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±1℃，用于模拟 FCV 不同气候工况</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搭建 “变负载实验台”</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通过变频器调节电机负载，负载范围</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0~10kW，精度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±0.1kW，</w:t>
      </w:r>
      <w:r>
        <w:rPr>
          <w:rFonts w:hint="eastAsia" w:ascii="Times New Roman" w:hAnsi="Times New Roman" w:eastAsia="宋体" w:cs="Times New Roman"/>
          <w:kern w:val="2"/>
          <w:lang w:val="en-US" w:eastAsia="zh-CN" w:bidi="ar-SA"/>
        </w:rPr>
        <w:t>用于</w:t>
      </w:r>
      <w:r>
        <w:rPr>
          <w:rFonts w:ascii="Times New Roman" w:hAnsi="Times New Roman" w:eastAsia="宋体" w:cs="Times New Roman"/>
          <w:kern w:val="2"/>
          <w:lang w:val="en-US" w:eastAsia="zh-CN" w:bidi="ar-SA"/>
        </w:rPr>
        <w:t>验证空压机变工况适应性。</w:t>
      </w:r>
    </w:p>
    <w:p w14:paraId="0FEEDC6D">
      <w:pPr>
        <w:pStyle w:val="8"/>
        <w:ind w:firstLine="420" w:firstLineChars="200"/>
        <w:rPr>
          <w:rFonts w:hint="default" w:ascii="Times New Roman" w:hAnsi="Times New Roman" w:eastAsia="宋体" w:cs="Times New Roman"/>
          <w:kern w:val="2"/>
          <w:position w:val="-42"/>
          <w:lang w:val="en-US" w:eastAsia="zh-CN" w:bidi="ar-SA"/>
        </w:rPr>
      </w:pPr>
      <w:r>
        <w:rPr>
          <w:rFonts w:ascii="Times New Roman" w:hAnsi="Times New Roman" w:eastAsia="宋体" w:cs="Times New Roman"/>
          <w:kern w:val="2"/>
          <w:lang w:val="en-US" w:eastAsia="zh-CN" w:bidi="ar-SA"/>
        </w:rPr>
        <w:t>采用 “临界流喷嘴法” 测量空压机流量</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喷嘴直径</w:t>
      </w:r>
      <w:r>
        <w:rPr>
          <w:rFonts w:hint="eastAsia" w:ascii="Times New Roman" w:hAnsi="Times New Roman" w:eastAsia="宋体" w:cs="Times New Roman"/>
          <w:kern w:val="2"/>
          <w:lang w:val="en-US" w:eastAsia="zh-CN" w:bidi="ar-SA"/>
        </w:rPr>
        <w:t>采用</w:t>
      </w:r>
      <w:r>
        <w:rPr>
          <w:rFonts w:ascii="Times New Roman" w:hAnsi="Times New Roman" w:eastAsia="宋体" w:cs="Times New Roman"/>
          <w:kern w:val="2"/>
          <w:lang w:val="en-US" w:eastAsia="zh-CN" w:bidi="ar-SA"/>
        </w:rPr>
        <w:t xml:space="preserve"> 10mm，精度</w:t>
      </w:r>
      <w:r>
        <w:rPr>
          <w:rFonts w:hint="eastAsia" w:ascii="Times New Roman" w:hAnsi="Times New Roman" w:eastAsia="宋体" w:cs="Times New Roman"/>
          <w:kern w:val="2"/>
          <w:lang w:val="en-US" w:eastAsia="zh-CN" w:bidi="ar-SA"/>
        </w:rPr>
        <w:t>为</w:t>
      </w:r>
      <w:r>
        <w:rPr>
          <w:rFonts w:ascii="Times New Roman" w:hAnsi="Times New Roman" w:eastAsia="宋体" w:cs="Times New Roman"/>
          <w:kern w:val="2"/>
          <w:lang w:val="en-US" w:eastAsia="zh-CN" w:bidi="ar-SA"/>
        </w:rPr>
        <w:t xml:space="preserve"> ±0.01mm</w:t>
      </w:r>
      <w:r>
        <w:rPr>
          <w:rFonts w:hint="eastAsia" w:ascii="Times New Roman" w:hAnsi="Times New Roman" w:eastAsia="宋体" w:cs="Times New Roman"/>
          <w:kern w:val="2"/>
          <w:lang w:val="en-US" w:eastAsia="zh-CN" w:bidi="ar-SA"/>
        </w:rPr>
        <w:t>，</w:t>
      </w:r>
      <w:r>
        <w:rPr>
          <w:rFonts w:ascii="Times New Roman" w:hAnsi="Times New Roman" w:eastAsia="宋体" w:cs="Times New Roman"/>
          <w:kern w:val="2"/>
          <w:lang w:val="en-US" w:eastAsia="zh-CN" w:bidi="ar-SA"/>
        </w:rPr>
        <w:t>通过压力传感器测量喷嘴前后压力，结合理想气体状态方程计算流量</w:t>
      </w:r>
      <w:r>
        <w:rPr>
          <w:rFonts w:hint="eastAsia" w:ascii="Times New Roman" w:hAnsi="Times New Roman" w:eastAsia="宋体" w:cs="Times New Roman"/>
          <w:kern w:val="2"/>
          <w:lang w:val="en-US" w:eastAsia="zh-CN" w:bidi="ar-SA"/>
        </w:rPr>
        <w:t>公式为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7"/>
        <w:gridCol w:w="4396"/>
        <w:gridCol w:w="2489"/>
      </w:tblGrid>
      <w:tr w14:paraId="25A6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vAlign w:val="center"/>
          </w:tcPr>
          <w:p w14:paraId="5A930A9B">
            <w:pPr>
              <w:pStyle w:val="8"/>
              <w:jc w:val="center"/>
              <w:rPr>
                <w:rFonts w:ascii="Times New Roman" w:hAnsi="Times New Roman" w:eastAsia="宋体" w:cs="Times New Roman"/>
                <w:kern w:val="2"/>
                <w:position w:val="-28"/>
                <w:vertAlign w:val="baseline"/>
                <w:lang w:val="en-US" w:eastAsia="zh-CN" w:bidi="ar-SA"/>
              </w:rPr>
            </w:pPr>
          </w:p>
        </w:tc>
        <w:tc>
          <w:tcPr>
            <w:tcW w:w="3081" w:type="dxa"/>
            <w:tcBorders>
              <w:top w:val="nil"/>
              <w:left w:val="nil"/>
              <w:bottom w:val="nil"/>
              <w:right w:val="nil"/>
            </w:tcBorders>
            <w:vAlign w:val="center"/>
          </w:tcPr>
          <w:p w14:paraId="709CBA6E">
            <w:pPr>
              <w:pStyle w:val="8"/>
              <w:jc w:val="center"/>
              <w:rPr>
                <w:rFonts w:ascii="Times New Roman" w:hAnsi="Times New Roman" w:eastAsia="宋体" w:cs="Times New Roman"/>
                <w:kern w:val="2"/>
                <w:position w:val="-28"/>
                <w:vertAlign w:val="baseline"/>
                <w:lang w:val="en-US" w:eastAsia="zh-CN" w:bidi="ar-SA"/>
              </w:rPr>
            </w:pPr>
            <w:r>
              <w:rPr>
                <w:rFonts w:hint="default" w:ascii="Times New Roman" w:hAnsi="Times New Roman" w:eastAsia="宋体" w:cs="Times New Roman"/>
                <w:kern w:val="2"/>
                <w:position w:val="-42"/>
                <w:lang w:val="en-US" w:eastAsia="zh-CN" w:bidi="ar-SA"/>
              </w:rPr>
              <w:object>
                <v:shape id="_x0000_i1048" o:spt="75" type="#_x0000_t75" style="height:49pt;width:209pt;" o:ole="t" filled="f" o:preferrelative="t" stroked="f" coordsize="21600,21600">
                  <v:path/>
                  <v:fill on="f" focussize="0,0"/>
                  <v:stroke on="f"/>
                  <v:imagedata r:id="rId21" o:title=""/>
                  <o:lock v:ext="edit" aspectratio="f"/>
                  <w10:wrap type="none"/>
                  <w10:anchorlock/>
                </v:shape>
                <o:OLEObject Type="Embed" ProgID="Equation.DSMT4" ShapeID="_x0000_i1048" DrawAspect="Content" ObjectID="_1468075733" r:id="rId20">
                  <o:LockedField>false</o:LockedField>
                </o:OLEObject>
              </w:object>
            </w:r>
          </w:p>
        </w:tc>
        <w:tc>
          <w:tcPr>
            <w:tcW w:w="3081" w:type="dxa"/>
            <w:tcBorders>
              <w:top w:val="nil"/>
              <w:left w:val="nil"/>
              <w:bottom w:val="nil"/>
              <w:right w:val="nil"/>
            </w:tcBorders>
            <w:vAlign w:val="center"/>
          </w:tcPr>
          <w:p w14:paraId="789AD630">
            <w:pPr>
              <w:pStyle w:val="8"/>
              <w:jc w:val="right"/>
              <w:rPr>
                <w:rFonts w:hint="default" w:ascii="Times New Roman" w:hAnsi="Times New Roman" w:eastAsia="宋体" w:cs="Times New Roman"/>
                <w:kern w:val="2"/>
                <w:position w:val="-28"/>
                <w:vertAlign w:val="baseline"/>
                <w:lang w:val="en-US" w:eastAsia="zh-CN" w:bidi="ar-SA"/>
              </w:rPr>
            </w:pPr>
            <w:r>
              <w:rPr>
                <w:rFonts w:hint="eastAsia" w:ascii="Times New Roman" w:hAnsi="Times New Roman" w:eastAsia="宋体" w:cs="Times New Roman"/>
                <w:kern w:val="2"/>
                <w:position w:val="-28"/>
                <w:vertAlign w:val="baseline"/>
                <w:lang w:val="en-US" w:eastAsia="zh-CN" w:bidi="ar-SA"/>
              </w:rPr>
              <w:t>（5）</w:t>
            </w:r>
          </w:p>
        </w:tc>
      </w:tr>
    </w:tbl>
    <w:p w14:paraId="21719FA6">
      <w:pPr>
        <w:pStyle w:val="8"/>
        <w:ind w:firstLine="420" w:firstLineChars="200"/>
        <w:rPr>
          <w:rFonts w:ascii="Times New Roman" w:hAnsi="Times New Roman" w:eastAsia="宋体" w:cs="Times New Roman"/>
          <w:kern w:val="2"/>
          <w:lang w:val="en-US" w:eastAsia="zh-CN" w:bidi="ar-SA"/>
        </w:rPr>
      </w:pPr>
      <w:r>
        <w:rPr>
          <w:rFonts w:ascii="Times New Roman" w:hAnsi="Times New Roman" w:eastAsia="宋体" w:cs="Times New Roman"/>
          <w:kern w:val="2"/>
          <w:position w:val="-12"/>
          <w:lang w:val="en-US" w:eastAsia="zh-CN" w:bidi="ar-SA"/>
        </w:rPr>
        <w:object>
          <v:shape id="_x0000_i1049" o:spt="75" type="#_x0000_t75" style="height:18pt;width:16pt;" o:ole="t" filled="f" o:preferrelative="t" stroked="f" coordsize="21600,21600">
            <v:path/>
            <v:fill on="f" focussize="0,0"/>
            <v:stroke on="f"/>
            <v:imagedata r:id="rId23" o:title=""/>
            <o:lock v:ext="edit" aspectratio="f"/>
            <w10:wrap type="none"/>
            <w10:anchorlock/>
          </v:shape>
          <o:OLEObject Type="Embed" ProgID="Equation.DSMT4" ShapeID="_x0000_i1049" DrawAspect="Content" ObjectID="_1468075734" r:id="rId22">
            <o:LockedField>false</o:LockedField>
          </o:OLEObject>
        </w:object>
      </w:r>
      <w:r>
        <w:rPr>
          <w:rFonts w:ascii="Times New Roman" w:hAnsi="Times New Roman" w:eastAsia="宋体" w:cs="Times New Roman"/>
          <w:kern w:val="2"/>
          <w:lang w:val="en-US" w:eastAsia="zh-CN" w:bidi="ar-SA"/>
        </w:rPr>
        <w:t>=0.98 流量系数，</w:t>
      </w:r>
      <w:r>
        <w:rPr>
          <w:rFonts w:ascii="Times New Roman" w:hAnsi="Times New Roman" w:eastAsia="宋体" w:cs="Times New Roman"/>
          <w:kern w:val="2"/>
          <w:position w:val="-10"/>
          <w:lang w:val="en-US" w:eastAsia="zh-CN" w:bidi="ar-SA"/>
        </w:rPr>
        <w:object>
          <v:shape id="_x0000_i1050" o:spt="75" type="#_x0000_t75" style="height:13pt;width:10pt;" o:ole="t" filled="f" o:preferrelative="t" stroked="f" coordsize="21600,21600">
            <v:path/>
            <v:fill on="f" focussize="0,0"/>
            <v:stroke on="f"/>
            <v:imagedata r:id="rId25" o:title=""/>
            <o:lock v:ext="edit" aspectratio="f"/>
            <w10:wrap type="none"/>
            <w10:anchorlock/>
          </v:shape>
          <o:OLEObject Type="Embed" ProgID="Equation.DSMT4" ShapeID="_x0000_i1050" DrawAspect="Content" ObjectID="_1468075735" r:id="rId24">
            <o:LockedField>false</o:LockedField>
          </o:OLEObject>
        </w:object>
      </w:r>
      <w:r>
        <w:rPr>
          <w:rFonts w:ascii="Times New Roman" w:hAnsi="Times New Roman" w:eastAsia="宋体" w:cs="Times New Roman"/>
          <w:kern w:val="2"/>
          <w:lang w:val="en-US" w:eastAsia="zh-CN" w:bidi="ar-SA"/>
        </w:rPr>
        <w:t>=1.4 空气比热容比</w:t>
      </w:r>
    </w:p>
    <w:p w14:paraId="36242487">
      <w:pPr>
        <w:pStyle w:val="3"/>
        <w:rPr>
          <w:rFonts w:ascii="Times New Roman" w:hAnsi="Times New Roman"/>
        </w:rPr>
      </w:pPr>
      <w:r>
        <w:rPr>
          <w:rFonts w:hint="eastAsia" w:ascii="Times New Roman" w:hAnsi="Times New Roman" w:eastAsia="黑体" w:cs="Times New Roman"/>
          <w:b/>
          <w:bCs w:val="0"/>
          <w:kern w:val="2"/>
          <w:sz w:val="28"/>
          <w:szCs w:val="28"/>
          <w:lang w:val="en-US" w:eastAsia="zh-CN" w:bidi="ar-SA"/>
        </w:rPr>
        <w:t>3  分</w:t>
      </w:r>
      <w:r>
        <w:rPr>
          <w:rFonts w:hint="eastAsia" w:ascii="Times New Roman" w:hAnsi="Times New Roman" w:eastAsia="黑体" w:cs="Times New Roman"/>
          <w:b/>
          <w:bCs w:val="0"/>
          <w:kern w:val="2"/>
          <w:sz w:val="28"/>
          <w:szCs w:val="28"/>
          <w:lang w:val="en-US" w:eastAsia="zh-CN" w:bidi="ar-SA"/>
        </w:rPr>
        <w:t>析</w:t>
      </w:r>
    </w:p>
    <w:p w14:paraId="41C12CD1">
      <w:pPr>
        <w:spacing w:before="156" w:beforeLines="50" w:after="156" w:afterLines="50"/>
        <w:rPr>
          <w:rFonts w:hint="eastAsia" w:ascii="Times New Roman" w:hAnsi="Times New Roman" w:eastAsia="黑体" w:cs="Times New Roman"/>
          <w:b/>
          <w:bCs/>
          <w:kern w:val="2"/>
          <w:szCs w:val="21"/>
          <w:lang w:val="en-US" w:eastAsia="zh-CN" w:bidi="ar-SA"/>
        </w:rPr>
      </w:pPr>
      <w:r>
        <w:rPr>
          <w:rFonts w:hint="eastAsia" w:ascii="Times New Roman" w:hAnsi="Times New Roman" w:eastAsia="黑体" w:cs="Times New Roman"/>
          <w:b/>
          <w:bCs/>
          <w:kern w:val="2"/>
          <w:szCs w:val="21"/>
          <w:lang w:val="en-US" w:eastAsia="zh-CN" w:bidi="ar-SA"/>
        </w:rPr>
        <w:t>3.1  方法应用</w:t>
      </w:r>
    </w:p>
    <w:p w14:paraId="06AE5AD3">
      <w:pPr>
        <w:rPr>
          <w:rFonts w:ascii="Times New Roman" w:hAnsi="Times New Roman" w:eastAsia="楷体" w:cs="Times New Roman"/>
          <w:bCs/>
          <w:kern w:val="2"/>
          <w:szCs w:val="21"/>
          <w:lang w:val="en-US" w:eastAsia="zh-CN" w:bidi="ar-SA"/>
        </w:rPr>
      </w:pPr>
      <w:r>
        <w:rPr>
          <w:rFonts w:ascii="Times New Roman" w:hAnsi="Times New Roman" w:eastAsia="楷体" w:cs="Times New Roman"/>
          <w:bCs/>
          <w:kern w:val="2"/>
          <w:szCs w:val="21"/>
          <w:lang w:val="en-US" w:eastAsia="zh-CN" w:bidi="ar-SA"/>
        </w:rPr>
        <w:t xml:space="preserve">3.1.1 </w:t>
      </w:r>
      <w:r>
        <w:rPr>
          <w:rFonts w:hint="eastAsia" w:ascii="Times New Roman" w:hAnsi="Times New Roman" w:eastAsia="楷体" w:cs="Times New Roman"/>
          <w:bCs/>
          <w:kern w:val="2"/>
          <w:szCs w:val="21"/>
          <w:lang w:val="en-US" w:eastAsia="zh-CN" w:bidi="ar-SA"/>
        </w:rPr>
        <w:t xml:space="preserve"> </w:t>
      </w:r>
      <w:r>
        <w:rPr>
          <w:rFonts w:ascii="Times New Roman" w:hAnsi="Times New Roman" w:eastAsia="楷体" w:cs="Times New Roman"/>
          <w:bCs/>
          <w:kern w:val="2"/>
          <w:szCs w:val="21"/>
          <w:lang w:val="en-US" w:eastAsia="zh-CN" w:bidi="ar-SA"/>
        </w:rPr>
        <w:t>超高速转子 - 轴承系统稳定支撑问题</w:t>
      </w:r>
    </w:p>
    <w:p w14:paraId="15831838">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针对无油超高速支撑需求，采用 GFB 替代传统油润滑轴承，首先通过 “四步法” 确定径向轴承内径 25 mm、长度 25 mm，推力轴承内径 32 mm、外径 55 mm，采用经验公式验证其承载在150 krpm 时径向轴承承载力近 200 N，满足转子 4.7 N 负载需求。基于 Link-Spring 模型计算得径向轴承动态刚度与阻尼系数，动态刚度系数Kxx/Kyy 随转速升高而增大，150 krpm 时 Kxx≈0.12 MN/m，动态阻尼系数Cxx/Cyy 随转速升高而减小，确保了转子的稳定性。Xlrotor 分析显示转子三阶临界转速约 180 krpm，与 150 krpm 额定转速存在 20% 安全裕度，不平衡响应放大系数AF为2.59~2.86，符合 API 标准。</w:t>
      </w:r>
    </w:p>
    <w:p w14:paraId="69836A3D">
      <w:pPr>
        <w:rPr>
          <w:rFonts w:ascii="Times New Roman" w:hAnsi="Times New Roman" w:eastAsia="楷体" w:cs="Times New Roman"/>
          <w:bCs/>
          <w:kern w:val="2"/>
          <w:szCs w:val="21"/>
          <w:lang w:val="en-US" w:eastAsia="zh-CN" w:bidi="ar-SA"/>
        </w:rPr>
      </w:pPr>
      <w:r>
        <w:rPr>
          <w:rFonts w:ascii="Times New Roman" w:hAnsi="Times New Roman" w:eastAsia="楷体" w:cs="Times New Roman"/>
          <w:bCs/>
          <w:kern w:val="2"/>
          <w:szCs w:val="21"/>
          <w:lang w:val="en-US" w:eastAsia="zh-CN" w:bidi="ar-SA"/>
        </w:rPr>
        <w:t xml:space="preserve">3.1.2 </w:t>
      </w:r>
      <w:r>
        <w:rPr>
          <w:rFonts w:hint="eastAsia" w:ascii="Times New Roman" w:hAnsi="Times New Roman" w:eastAsia="楷体" w:cs="Times New Roman"/>
          <w:bCs/>
          <w:kern w:val="2"/>
          <w:szCs w:val="21"/>
          <w:lang w:val="en-US" w:eastAsia="zh-CN" w:bidi="ar-SA"/>
        </w:rPr>
        <w:t xml:space="preserve"> </w:t>
      </w:r>
      <w:r>
        <w:rPr>
          <w:rFonts w:ascii="Times New Roman" w:hAnsi="Times New Roman" w:eastAsia="楷体" w:cs="Times New Roman"/>
          <w:bCs/>
          <w:kern w:val="2"/>
          <w:szCs w:val="21"/>
          <w:lang w:val="en-US" w:eastAsia="zh-CN" w:bidi="ar-SA"/>
        </w:rPr>
        <w:t>电机超高速散热问题</w:t>
      </w:r>
    </w:p>
    <w:p w14:paraId="7D20294C">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针对 PMSM 超高速损耗发热，采用 “损耗计算 - 冷却设计 - 热仿真” 流程。通过焦耳定律与 铁耗模型计算电机总损耗约 395 W，包括铜耗 25.06 W、铁耗 192 W、机械损耗 161.7 W。设计螺旋槽水冷系统的槽宽为 8 mm，高为 16 mm，流量为 216 L/H，同时把耦合气冷通道带走转子热量。Motor-CAD 热仿真显示，冷却后电机最高温度为 155℃，永磁体温度为 124.4℃，低于钕铁硼的退磁温度（200℃）。</w:t>
      </w:r>
    </w:p>
    <w:p w14:paraId="7BBEFE62">
      <w:pPr>
        <w:rPr>
          <w:rFonts w:ascii="Times New Roman" w:hAnsi="Times New Roman" w:eastAsia="楷体" w:cs="Times New Roman"/>
          <w:bCs/>
          <w:kern w:val="2"/>
          <w:szCs w:val="21"/>
          <w:lang w:val="en-US" w:eastAsia="zh-CN" w:bidi="ar-SA"/>
        </w:rPr>
      </w:pPr>
      <w:r>
        <w:rPr>
          <w:rFonts w:ascii="Times New Roman" w:hAnsi="Times New Roman" w:eastAsia="楷体" w:cs="Times New Roman"/>
          <w:bCs/>
          <w:kern w:val="2"/>
          <w:szCs w:val="21"/>
          <w:lang w:val="en-US" w:eastAsia="zh-CN" w:bidi="ar-SA"/>
        </w:rPr>
        <w:t xml:space="preserve">3.1.3 </w:t>
      </w:r>
      <w:r>
        <w:rPr>
          <w:rFonts w:hint="eastAsia" w:ascii="Times New Roman" w:hAnsi="Times New Roman" w:eastAsia="楷体" w:cs="Times New Roman"/>
          <w:bCs/>
          <w:kern w:val="2"/>
          <w:szCs w:val="21"/>
          <w:lang w:val="en-US" w:eastAsia="zh-CN" w:bidi="ar-SA"/>
        </w:rPr>
        <w:t xml:space="preserve"> </w:t>
      </w:r>
      <w:r>
        <w:rPr>
          <w:rFonts w:ascii="Times New Roman" w:hAnsi="Times New Roman" w:eastAsia="楷体" w:cs="Times New Roman"/>
          <w:bCs/>
          <w:kern w:val="2"/>
          <w:szCs w:val="21"/>
          <w:lang w:val="en-US" w:eastAsia="zh-CN" w:bidi="ar-SA"/>
        </w:rPr>
        <w:t>转子超高速强度与动力学安全问题</w:t>
      </w:r>
    </w:p>
    <w:p w14:paraId="62BB4A9A">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针对转子离心应力与临界转速风险，采用 ANSYS 有限元分析。150 krpm 下转子推力盘处最大离心应力为 600 MPa，小于 17-4PH 材料的抗拉强度1310 MPa，安全系数为 2.15。转子推力盘直径最大处最大变形为 0.067 mm，满足精度要求。临界转速分析表明一阶 / 二阶临界转速为 8~18 krpm，低于轴承起飞转速 10~14 krpm，三阶为 180 krpm，高于额定转速，无共振风险。</w:t>
      </w:r>
    </w:p>
    <w:p w14:paraId="5A25E356">
      <w:pPr>
        <w:spacing w:before="156" w:beforeLines="50" w:after="156" w:afterLines="50"/>
        <w:rPr>
          <w:rFonts w:hint="eastAsia" w:ascii="Times New Roman" w:hAnsi="Times New Roman" w:eastAsia="黑体" w:cs="Times New Roman"/>
          <w:b/>
          <w:bCs/>
          <w:kern w:val="2"/>
          <w:szCs w:val="21"/>
          <w:lang w:val="en-US" w:eastAsia="zh-CN" w:bidi="ar-SA"/>
        </w:rPr>
      </w:pPr>
      <w:r>
        <w:rPr>
          <w:rFonts w:hint="eastAsia" w:ascii="Times New Roman" w:hAnsi="Times New Roman" w:eastAsia="黑体" w:cs="Times New Roman"/>
          <w:b/>
          <w:bCs/>
          <w:kern w:val="2"/>
          <w:szCs w:val="21"/>
          <w:lang w:val="en-US" w:eastAsia="zh-CN" w:bidi="ar-SA"/>
        </w:rPr>
        <w:t>3.2  研究步骤</w:t>
      </w:r>
    </w:p>
    <w:p w14:paraId="4BC91CE4">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首先是系统方案设计，先确定空压机整体架构为PMSM 驱动 、 GFB 支撑 、半开式叶轮 、 迷宫密封，在确定设计电机参数，定子内径为 31.6 mm、极对数为 1、Y 型双层叠绕组，变频器选型为Sibe&amp;Meyer SD2S，最高频率 8000 Hz，搭建的转子振动测试系统为NI 数据采集 加 LabVIEW 软件。</w:t>
      </w:r>
    </w:p>
    <w:p w14:paraId="2C1989A0">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然后进行转子 - 轴承系统设计，按 “四步法” 完成 GFB 尺寸与波箔参数设计，确定径向轴承波箔厚度为 0.1 mm、波纹数为 30，推力轴承波瓣数为 6，并且建立转子动力学与强度模型，且进行校核。</w:t>
      </w:r>
    </w:p>
    <w:p w14:paraId="67142D47">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其次进行冷却系统设计，先计算电机损耗，然后依此设计螺旋槽水冷与气冷通道，建立热仿真模型验证散热效果。</w:t>
      </w:r>
    </w:p>
    <w:p w14:paraId="5D4C0881">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最后进行实验验证，对加工样机与两种 GFB开展轴承起飞实验。基于两种轴承进行系统实验，同时进行优化轴承间隙，插入40 μm或60 μm 垫片，优化刚度，采用双波箔结构。测试转子振动特性与稳定转速，最终实现 145 krpm 稳定运行。</w:t>
      </w:r>
    </w:p>
    <w:p w14:paraId="5E3C0443">
      <w:pPr>
        <w:spacing w:before="156" w:beforeLines="50" w:after="156" w:afterLines="50"/>
        <w:rPr>
          <w:rFonts w:hint="eastAsia" w:ascii="Times New Roman" w:hAnsi="Times New Roman" w:eastAsia="黑体" w:cs="Times New Roman"/>
          <w:b/>
          <w:bCs/>
          <w:kern w:val="2"/>
          <w:szCs w:val="21"/>
          <w:lang w:val="en-US" w:eastAsia="zh-CN" w:bidi="ar-SA"/>
        </w:rPr>
      </w:pPr>
      <w:r>
        <w:rPr>
          <w:rFonts w:hint="eastAsia" w:ascii="Times New Roman" w:hAnsi="Times New Roman" w:eastAsia="黑体" w:cs="Times New Roman"/>
          <w:b/>
          <w:bCs/>
          <w:kern w:val="2"/>
          <w:szCs w:val="21"/>
          <w:lang w:val="en-US" w:eastAsia="zh-CN" w:bidi="ar-SA"/>
        </w:rPr>
        <w:t>3.3  数据分析</w:t>
      </w:r>
    </w:p>
    <w:p w14:paraId="4EF673A8">
      <w:pPr>
        <w:ind w:firstLine="181" w:firstLineChars="100"/>
        <w:jc w:val="center"/>
        <w:rPr>
          <w:rFonts w:hint="eastAsia" w:ascii="Times New Roman" w:hAnsi="Times New Roman" w:eastAsia="宋体" w:cs="Times New Roman"/>
          <w:b/>
          <w:bCs/>
          <w:kern w:val="2"/>
          <w:sz w:val="18"/>
          <w:szCs w:val="18"/>
          <w:lang w:val="en-US" w:eastAsia="zh-CN" w:bidi="ar-SA"/>
        </w:rPr>
      </w:pPr>
      <w:r>
        <w:rPr>
          <w:rFonts w:hint="eastAsia" w:ascii="Times New Roman" w:hAnsi="Times New Roman" w:eastAsia="宋体" w:cs="Times New Roman"/>
          <w:b/>
          <w:bCs/>
          <w:kern w:val="2"/>
          <w:sz w:val="18"/>
          <w:szCs w:val="18"/>
          <w:lang w:val="en-US" w:eastAsia="zh-CN" w:bidi="ar-SA"/>
        </w:rPr>
        <w:t>表1  仿真数据</w:t>
      </w:r>
    </w:p>
    <w:p w14:paraId="49B2715E">
      <w:pPr>
        <w:ind w:firstLine="181" w:firstLineChars="100"/>
        <w:jc w:val="center"/>
        <w:rPr>
          <w:rFonts w:hint="eastAsia" w:ascii="Times New Roman" w:hAnsi="Times New Roman"/>
          <w:b/>
          <w:bCs/>
          <w:sz w:val="18"/>
          <w:szCs w:val="18"/>
          <w:lang w:val="en-US" w:eastAsia="zh-CN"/>
        </w:rPr>
      </w:pPr>
      <w:r>
        <w:rPr>
          <w:rFonts w:ascii="Times New Roman" w:hAnsi="Times New Roman"/>
          <w:b/>
          <w:bCs/>
          <w:sz w:val="18"/>
          <w:szCs w:val="18"/>
        </w:rPr>
        <w:t xml:space="preserve">Tab.1  </w:t>
      </w:r>
      <w:r>
        <w:rPr>
          <w:rFonts w:hint="eastAsia" w:ascii="Times New Roman" w:hAnsi="Times New Roman"/>
          <w:b/>
          <w:bCs/>
          <w:sz w:val="18"/>
          <w:szCs w:val="18"/>
          <w:lang w:val="en-US" w:eastAsia="zh-CN"/>
        </w:rPr>
        <w:t>Simulation data</w:t>
      </w:r>
    </w:p>
    <w:tbl>
      <w:tblPr>
        <w:tblStyle w:val="1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1"/>
        <w:gridCol w:w="4702"/>
        <w:gridCol w:w="2403"/>
      </w:tblGrid>
      <w:tr w14:paraId="208805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1064" w:type="pct"/>
            <w:tcBorders>
              <w:top w:val="single" w:color="auto" w:sz="8" w:space="0"/>
              <w:bottom w:val="single" w:color="auto" w:sz="4" w:space="0"/>
            </w:tcBorders>
            <w:shd w:val="clear" w:color="auto" w:fill="auto"/>
            <w:vAlign w:val="center"/>
          </w:tcPr>
          <w:p w14:paraId="62BCBB56">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仿真项目</w:t>
            </w:r>
          </w:p>
        </w:tc>
        <w:tc>
          <w:tcPr>
            <w:tcW w:w="2604" w:type="pct"/>
            <w:tcBorders>
              <w:top w:val="single" w:color="auto" w:sz="8" w:space="0"/>
              <w:bottom w:val="single" w:color="auto" w:sz="4" w:space="0"/>
            </w:tcBorders>
            <w:shd w:val="clear" w:color="auto" w:fill="auto"/>
            <w:vAlign w:val="center"/>
          </w:tcPr>
          <w:p w14:paraId="27EEC535">
            <w:pPr>
              <w:widowControl/>
              <w:adjustRightInd w:val="0"/>
              <w:snapToGrid w:val="0"/>
              <w:spacing w:line="260" w:lineRule="atLeast"/>
              <w:jc w:val="center"/>
              <w:rPr>
                <w:rFonts w:hint="eastAsia" w:ascii="Times New Roman" w:hAnsi="Times New Roman"/>
                <w:bCs/>
                <w:snapToGrid w:val="0"/>
                <w:color w:val="000000"/>
                <w:kern w:val="0"/>
                <w:sz w:val="18"/>
                <w:szCs w:val="18"/>
                <w:lang w:eastAsia="de-DE" w:bidi="en-US"/>
              </w:rPr>
            </w:pPr>
            <w:r>
              <w:rPr>
                <w:rFonts w:hint="eastAsia" w:ascii="Times New Roman" w:hAnsi="Times New Roman" w:eastAsia="宋体" w:cs="Times New Roman"/>
                <w:bCs/>
                <w:snapToGrid w:val="0"/>
                <w:color w:val="000000"/>
                <w:kern w:val="0"/>
                <w:sz w:val="18"/>
                <w:szCs w:val="18"/>
                <w:lang w:val="en-US" w:eastAsia="zh-CN" w:bidi="en-US"/>
              </w:rPr>
              <w:t>关键结果</w:t>
            </w:r>
          </w:p>
        </w:tc>
        <w:tc>
          <w:tcPr>
            <w:tcW w:w="1331" w:type="pct"/>
            <w:tcBorders>
              <w:top w:val="single" w:color="auto" w:sz="8" w:space="0"/>
              <w:bottom w:val="single" w:color="auto" w:sz="4" w:space="0"/>
            </w:tcBorders>
            <w:shd w:val="clear" w:color="auto" w:fill="auto"/>
            <w:vAlign w:val="center"/>
          </w:tcPr>
          <w:p w14:paraId="0E104086">
            <w:pPr>
              <w:widowControl/>
              <w:adjustRightInd w:val="0"/>
              <w:snapToGrid w:val="0"/>
              <w:spacing w:line="260" w:lineRule="atLeast"/>
              <w:jc w:val="center"/>
              <w:rPr>
                <w:rFonts w:hint="eastAsia" w:ascii="Times New Roman" w:hAnsi="Times New Roman"/>
                <w:bCs/>
                <w:snapToGrid w:val="0"/>
                <w:color w:val="000000"/>
                <w:kern w:val="0"/>
                <w:sz w:val="18"/>
                <w:szCs w:val="18"/>
                <w:lang w:eastAsia="de-DE" w:bidi="en-US"/>
              </w:rPr>
            </w:pPr>
            <w:r>
              <w:rPr>
                <w:rFonts w:hint="eastAsia" w:ascii="Times New Roman" w:hAnsi="Times New Roman" w:eastAsia="宋体" w:cs="Times New Roman"/>
                <w:bCs/>
                <w:snapToGrid w:val="0"/>
                <w:color w:val="000000"/>
                <w:kern w:val="0"/>
                <w:sz w:val="18"/>
                <w:szCs w:val="18"/>
                <w:lang w:val="en-US" w:eastAsia="zh-CN" w:bidi="en-US"/>
              </w:rPr>
              <w:t>验证结论</w:t>
            </w:r>
          </w:p>
        </w:tc>
      </w:tr>
      <w:tr w14:paraId="60E34D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1064" w:type="pct"/>
            <w:tcBorders>
              <w:top w:val="single" w:color="auto" w:sz="4" w:space="0"/>
            </w:tcBorders>
            <w:shd w:val="clear" w:color="auto" w:fill="auto"/>
            <w:vAlign w:val="center"/>
          </w:tcPr>
          <w:p w14:paraId="1D5A5BF5">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转子临界转速</w:t>
            </w:r>
          </w:p>
        </w:tc>
        <w:tc>
          <w:tcPr>
            <w:tcW w:w="2604" w:type="pct"/>
            <w:tcBorders>
              <w:top w:val="single" w:color="auto" w:sz="4" w:space="0"/>
            </w:tcBorders>
            <w:shd w:val="clear" w:color="auto" w:fill="auto"/>
            <w:vAlign w:val="center"/>
          </w:tcPr>
          <w:p w14:paraId="5C7C4B4E">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三阶临界转速 180 krpm</w:t>
            </w:r>
          </w:p>
        </w:tc>
        <w:tc>
          <w:tcPr>
            <w:tcW w:w="1331" w:type="pct"/>
            <w:tcBorders>
              <w:top w:val="single" w:color="auto" w:sz="4" w:space="0"/>
              <w:bottom w:val="dotted" w:color="auto" w:sz="4" w:space="0"/>
            </w:tcBorders>
            <w:shd w:val="clear" w:color="auto" w:fill="auto"/>
            <w:vAlign w:val="center"/>
          </w:tcPr>
          <w:p w14:paraId="5D149B8A">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远离额定转速，无共振风险</w:t>
            </w:r>
          </w:p>
        </w:tc>
      </w:tr>
      <w:tr w14:paraId="42B9EA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1064" w:type="pct"/>
            <w:tcBorders>
              <w:top w:val="dotted" w:color="auto" w:sz="4" w:space="0"/>
              <w:bottom w:val="nil"/>
            </w:tcBorders>
            <w:shd w:val="clear" w:color="auto" w:fill="auto"/>
            <w:vAlign w:val="center"/>
          </w:tcPr>
          <w:p w14:paraId="6B77F8AC">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电机热仿真</w:t>
            </w:r>
          </w:p>
        </w:tc>
        <w:tc>
          <w:tcPr>
            <w:tcW w:w="2604" w:type="pct"/>
            <w:tcBorders>
              <w:top w:val="dotted" w:color="auto" w:sz="4" w:space="0"/>
            </w:tcBorders>
            <w:shd w:val="clear" w:color="auto" w:fill="auto"/>
            <w:vAlign w:val="center"/>
          </w:tcPr>
          <w:p w14:paraId="51739CE7">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最高温度 155℃（定子），永磁体温度 124.4℃</w:t>
            </w:r>
          </w:p>
        </w:tc>
        <w:tc>
          <w:tcPr>
            <w:tcW w:w="1331" w:type="pct"/>
            <w:tcBorders>
              <w:top w:val="dotted" w:color="auto" w:sz="4" w:space="0"/>
              <w:bottom w:val="dotted" w:color="auto" w:sz="4" w:space="0"/>
            </w:tcBorders>
            <w:shd w:val="clear" w:color="auto" w:fill="auto"/>
            <w:vAlign w:val="center"/>
          </w:tcPr>
          <w:p w14:paraId="5427FA75">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散热系统有效，无退磁风险</w:t>
            </w:r>
          </w:p>
        </w:tc>
      </w:tr>
      <w:tr w14:paraId="144BB1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1064" w:type="pct"/>
            <w:tcBorders>
              <w:top w:val="dotted" w:color="auto" w:sz="4" w:space="0"/>
              <w:bottom w:val="nil"/>
            </w:tcBorders>
            <w:shd w:val="clear" w:color="auto" w:fill="auto"/>
            <w:vAlign w:val="center"/>
          </w:tcPr>
          <w:p w14:paraId="60693778">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转子应力</w:t>
            </w:r>
          </w:p>
        </w:tc>
        <w:tc>
          <w:tcPr>
            <w:tcW w:w="2604" w:type="pct"/>
            <w:tcBorders>
              <w:top w:val="dotted" w:color="auto" w:sz="4" w:space="0"/>
            </w:tcBorders>
            <w:shd w:val="clear" w:color="auto" w:fill="auto"/>
            <w:vAlign w:val="center"/>
          </w:tcPr>
          <w:p w14:paraId="642AFA66">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最大应力 600 MPa，最大变形 0.067 mm</w:t>
            </w:r>
          </w:p>
        </w:tc>
        <w:tc>
          <w:tcPr>
            <w:tcW w:w="1331" w:type="pct"/>
            <w:tcBorders>
              <w:top w:val="dotted" w:color="auto" w:sz="4" w:space="0"/>
              <w:bottom w:val="dotted" w:color="auto" w:sz="4" w:space="0"/>
            </w:tcBorders>
            <w:shd w:val="clear" w:color="auto" w:fill="auto"/>
            <w:vAlign w:val="center"/>
          </w:tcPr>
          <w:p w14:paraId="5FA3DAC3">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强度与精度满足要求</w:t>
            </w:r>
          </w:p>
        </w:tc>
      </w:tr>
      <w:tr w14:paraId="7DA4C7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1064" w:type="pct"/>
            <w:tcBorders>
              <w:top w:val="dotted" w:color="auto" w:sz="4" w:space="0"/>
              <w:bottom w:val="single" w:color="auto" w:sz="8" w:space="0"/>
            </w:tcBorders>
            <w:shd w:val="clear" w:color="auto" w:fill="auto"/>
            <w:vAlign w:val="center"/>
          </w:tcPr>
          <w:p w14:paraId="50986DF8">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GFB 静动态特性</w:t>
            </w:r>
          </w:p>
        </w:tc>
        <w:tc>
          <w:tcPr>
            <w:tcW w:w="2604" w:type="pct"/>
            <w:tcBorders>
              <w:top w:val="dotted" w:color="auto" w:sz="4" w:space="0"/>
            </w:tcBorders>
            <w:shd w:val="clear" w:color="auto" w:fill="auto"/>
            <w:vAlign w:val="center"/>
          </w:tcPr>
          <w:p w14:paraId="6D6CC028">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150 krpm 时 Kxx≈0.12 MN/m，Cxx≈0.08 kN・s/m</w:t>
            </w:r>
          </w:p>
        </w:tc>
        <w:tc>
          <w:tcPr>
            <w:tcW w:w="1331" w:type="pct"/>
            <w:tcBorders>
              <w:top w:val="dotted" w:color="auto" w:sz="4" w:space="0"/>
              <w:bottom w:val="single" w:color="auto" w:sz="8" w:space="0"/>
            </w:tcBorders>
            <w:shd w:val="clear" w:color="auto" w:fill="auto"/>
            <w:vAlign w:val="center"/>
          </w:tcPr>
          <w:p w14:paraId="37CC1965">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轴承刚度、阻尼适配转子需求</w:t>
            </w:r>
          </w:p>
        </w:tc>
      </w:tr>
    </w:tbl>
    <w:p w14:paraId="0BE35E31">
      <w:pPr>
        <w:ind w:firstLine="181" w:firstLineChars="100"/>
        <w:jc w:val="center"/>
        <w:rPr>
          <w:rFonts w:hint="default" w:ascii="Times New Roman" w:hAnsi="Times New Roman"/>
          <w:b/>
          <w:bCs/>
          <w:sz w:val="18"/>
          <w:szCs w:val="18"/>
          <w:lang w:val="en-US" w:eastAsia="zh-CN"/>
        </w:rPr>
      </w:pPr>
    </w:p>
    <w:p w14:paraId="656D6DED">
      <w:pPr>
        <w:ind w:firstLine="181" w:firstLineChars="100"/>
        <w:jc w:val="center"/>
        <w:rPr>
          <w:rFonts w:hint="eastAsia" w:ascii="Times New Roman" w:hAnsi="Times New Roman" w:eastAsia="宋体" w:cs="Times New Roman"/>
          <w:b/>
          <w:bCs/>
          <w:kern w:val="2"/>
          <w:sz w:val="18"/>
          <w:szCs w:val="18"/>
          <w:lang w:val="en-US" w:eastAsia="zh-CN" w:bidi="ar-SA"/>
        </w:rPr>
      </w:pPr>
      <w:r>
        <w:rPr>
          <w:rFonts w:hint="eastAsia" w:ascii="Times New Roman" w:hAnsi="Times New Roman" w:eastAsia="宋体" w:cs="Times New Roman"/>
          <w:b/>
          <w:bCs/>
          <w:kern w:val="2"/>
          <w:sz w:val="18"/>
          <w:szCs w:val="18"/>
          <w:lang w:val="en-US" w:eastAsia="zh-CN" w:bidi="ar-SA"/>
        </w:rPr>
        <w:t>表2  实验数据</w:t>
      </w:r>
    </w:p>
    <w:p w14:paraId="7C29F44C">
      <w:pPr>
        <w:ind w:firstLine="181" w:firstLineChars="100"/>
        <w:jc w:val="center"/>
        <w:rPr>
          <w:rFonts w:hint="eastAsia" w:ascii="Times New Roman" w:hAnsi="Times New Roman"/>
          <w:b/>
          <w:bCs/>
          <w:sz w:val="18"/>
          <w:szCs w:val="18"/>
          <w:lang w:val="en-US" w:eastAsia="zh-CN"/>
        </w:rPr>
      </w:pPr>
      <w:r>
        <w:rPr>
          <w:rFonts w:ascii="Times New Roman" w:hAnsi="Times New Roman"/>
          <w:b/>
          <w:bCs/>
          <w:sz w:val="18"/>
          <w:szCs w:val="18"/>
        </w:rPr>
        <w:t>Tab.</w:t>
      </w:r>
      <w:r>
        <w:rPr>
          <w:rFonts w:hint="eastAsia" w:ascii="Times New Roman" w:hAnsi="Times New Roman"/>
          <w:b/>
          <w:bCs/>
          <w:sz w:val="18"/>
          <w:szCs w:val="18"/>
          <w:lang w:val="en-US" w:eastAsia="zh-CN"/>
        </w:rPr>
        <w:t>2</w:t>
      </w:r>
      <w:r>
        <w:rPr>
          <w:rFonts w:ascii="Times New Roman" w:hAnsi="Times New Roman"/>
          <w:b/>
          <w:bCs/>
          <w:sz w:val="18"/>
          <w:szCs w:val="18"/>
        </w:rPr>
        <w:t xml:space="preserve">  </w:t>
      </w:r>
      <w:r>
        <w:rPr>
          <w:rFonts w:hint="eastAsia" w:ascii="Times New Roman" w:hAnsi="Times New Roman"/>
          <w:b/>
          <w:bCs/>
          <w:sz w:val="18"/>
          <w:szCs w:val="18"/>
          <w:lang w:val="en-US" w:eastAsia="zh-CN"/>
        </w:rPr>
        <w:t>Experimental data</w:t>
      </w:r>
    </w:p>
    <w:tbl>
      <w:tblPr>
        <w:tblStyle w:val="11"/>
        <w:tblW w:w="4997"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795"/>
        <w:gridCol w:w="1970"/>
        <w:gridCol w:w="1742"/>
        <w:gridCol w:w="2514"/>
      </w:tblGrid>
      <w:tr w14:paraId="7C81FD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single" w:color="auto" w:sz="8" w:space="0"/>
              <w:bottom w:val="single" w:color="auto" w:sz="4" w:space="0"/>
            </w:tcBorders>
            <w:shd w:val="clear" w:color="auto" w:fill="auto"/>
            <w:vAlign w:val="center"/>
          </w:tcPr>
          <w:p w14:paraId="5E733AB1">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实验方案</w:t>
            </w:r>
          </w:p>
        </w:tc>
        <w:tc>
          <w:tcPr>
            <w:tcW w:w="1970" w:type="dxa"/>
            <w:tcBorders>
              <w:top w:val="single" w:color="auto" w:sz="8" w:space="0"/>
              <w:bottom w:val="single" w:color="auto" w:sz="4" w:space="0"/>
            </w:tcBorders>
            <w:shd w:val="clear" w:color="auto" w:fill="auto"/>
            <w:vAlign w:val="center"/>
          </w:tcPr>
          <w:p w14:paraId="24FBA866">
            <w:pPr>
              <w:widowControl/>
              <w:adjustRightInd w:val="0"/>
              <w:snapToGrid w:val="0"/>
              <w:spacing w:line="260" w:lineRule="atLeast"/>
              <w:jc w:val="center"/>
              <w:rPr>
                <w:rFonts w:hint="eastAsia" w:ascii="Times New Roman" w:hAnsi="Times New Roman"/>
                <w:bCs/>
                <w:snapToGrid w:val="0"/>
                <w:color w:val="000000"/>
                <w:kern w:val="0"/>
                <w:sz w:val="18"/>
                <w:szCs w:val="18"/>
                <w:lang w:eastAsia="de-DE" w:bidi="en-US"/>
              </w:rPr>
            </w:pPr>
            <w:r>
              <w:rPr>
                <w:rFonts w:hint="eastAsia" w:ascii="Times New Roman" w:hAnsi="Times New Roman" w:eastAsia="宋体" w:cs="Times New Roman"/>
                <w:bCs/>
                <w:snapToGrid w:val="0"/>
                <w:color w:val="000000"/>
                <w:kern w:val="0"/>
                <w:sz w:val="18"/>
                <w:szCs w:val="18"/>
                <w:lang w:val="en-US" w:eastAsia="zh-CN" w:bidi="en-US"/>
              </w:rPr>
              <w:t>稳定转速</w:t>
            </w:r>
          </w:p>
        </w:tc>
        <w:tc>
          <w:tcPr>
            <w:tcW w:w="1742" w:type="dxa"/>
            <w:tcBorders>
              <w:top w:val="single" w:color="auto" w:sz="8" w:space="0"/>
              <w:bottom w:val="single" w:color="auto" w:sz="4" w:space="0"/>
            </w:tcBorders>
            <w:shd w:val="clear" w:color="auto" w:fill="auto"/>
            <w:vAlign w:val="center"/>
          </w:tcPr>
          <w:p w14:paraId="74F53317">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同频振动幅值</w:t>
            </w:r>
          </w:p>
        </w:tc>
        <w:tc>
          <w:tcPr>
            <w:tcW w:w="2514" w:type="dxa"/>
            <w:tcBorders>
              <w:top w:val="single" w:color="auto" w:sz="8" w:space="0"/>
              <w:bottom w:val="single" w:color="auto" w:sz="4" w:space="0"/>
            </w:tcBorders>
            <w:shd w:val="clear" w:color="auto" w:fill="auto"/>
            <w:vAlign w:val="center"/>
          </w:tcPr>
          <w:p w14:paraId="0B02DABB">
            <w:pPr>
              <w:widowControl/>
              <w:adjustRightInd w:val="0"/>
              <w:snapToGrid w:val="0"/>
              <w:spacing w:line="260" w:lineRule="atLeast"/>
              <w:jc w:val="center"/>
              <w:rPr>
                <w:rFonts w:hint="eastAsia" w:ascii="Times New Roman" w:hAnsi="Times New Roman"/>
                <w:bCs/>
                <w:snapToGrid w:val="0"/>
                <w:color w:val="000000"/>
                <w:kern w:val="0"/>
                <w:sz w:val="18"/>
                <w:szCs w:val="18"/>
                <w:lang w:eastAsia="de-DE" w:bidi="en-US"/>
              </w:rPr>
            </w:pPr>
            <w:r>
              <w:rPr>
                <w:rFonts w:hint="eastAsia" w:ascii="Times New Roman" w:hAnsi="Times New Roman" w:eastAsia="宋体" w:cs="Times New Roman"/>
                <w:bCs/>
                <w:snapToGrid w:val="0"/>
                <w:color w:val="000000"/>
                <w:kern w:val="0"/>
                <w:sz w:val="18"/>
                <w:szCs w:val="18"/>
                <w:lang w:val="en-US" w:eastAsia="zh-CN" w:bidi="en-US"/>
              </w:rPr>
              <w:t>次同步振动抑制效果</w:t>
            </w:r>
          </w:p>
        </w:tc>
      </w:tr>
      <w:tr w14:paraId="2A0F3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single" w:color="auto" w:sz="4" w:space="0"/>
            </w:tcBorders>
            <w:shd w:val="clear" w:color="auto" w:fill="auto"/>
            <w:vAlign w:val="center"/>
          </w:tcPr>
          <w:p w14:paraId="4A8950E2">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整周型 GFB（无垫片）</w:t>
            </w:r>
          </w:p>
        </w:tc>
        <w:tc>
          <w:tcPr>
            <w:tcW w:w="1970" w:type="dxa"/>
            <w:tcBorders>
              <w:top w:val="single" w:color="auto" w:sz="4" w:space="0"/>
            </w:tcBorders>
            <w:shd w:val="clear" w:color="auto" w:fill="auto"/>
            <w:vAlign w:val="center"/>
          </w:tcPr>
          <w:p w14:paraId="323CC68B">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60 krpm</w:t>
            </w:r>
          </w:p>
        </w:tc>
        <w:tc>
          <w:tcPr>
            <w:tcW w:w="1742" w:type="dxa"/>
            <w:tcBorders>
              <w:top w:val="single" w:color="auto" w:sz="4" w:space="0"/>
              <w:bottom w:val="dotted" w:color="auto" w:sz="4" w:space="0"/>
            </w:tcBorders>
            <w:shd w:val="clear" w:color="auto" w:fill="auto"/>
            <w:vAlign w:val="center"/>
          </w:tcPr>
          <w:p w14:paraId="59A2B897">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3 μm</w:t>
            </w:r>
          </w:p>
        </w:tc>
        <w:tc>
          <w:tcPr>
            <w:tcW w:w="2514" w:type="dxa"/>
            <w:tcBorders>
              <w:top w:val="single" w:color="auto" w:sz="4" w:space="0"/>
              <w:bottom w:val="dotted" w:color="auto" w:sz="4" w:space="0"/>
            </w:tcBorders>
            <w:shd w:val="clear" w:color="auto" w:fill="auto"/>
            <w:vAlign w:val="center"/>
          </w:tcPr>
          <w:p w14:paraId="26A9BCE0">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200 Hz 次同步振动失稳</w:t>
            </w:r>
          </w:p>
        </w:tc>
      </w:tr>
      <w:tr w14:paraId="13B25C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dotted" w:color="auto" w:sz="4" w:space="0"/>
              <w:bottom w:val="nil"/>
            </w:tcBorders>
            <w:shd w:val="clear" w:color="auto" w:fill="auto"/>
            <w:vAlign w:val="center"/>
          </w:tcPr>
          <w:p w14:paraId="09BA84A2">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整周型 GFB（60 μm 垫片）</w:t>
            </w:r>
          </w:p>
        </w:tc>
        <w:tc>
          <w:tcPr>
            <w:tcW w:w="1970" w:type="dxa"/>
            <w:tcBorders>
              <w:top w:val="dotted" w:color="auto" w:sz="4" w:space="0"/>
            </w:tcBorders>
            <w:shd w:val="clear" w:color="auto" w:fill="auto"/>
            <w:vAlign w:val="center"/>
          </w:tcPr>
          <w:p w14:paraId="485DA5EE">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60 krpm</w:t>
            </w:r>
          </w:p>
        </w:tc>
        <w:tc>
          <w:tcPr>
            <w:tcW w:w="1742" w:type="dxa"/>
            <w:tcBorders>
              <w:top w:val="dotted" w:color="auto" w:sz="4" w:space="0"/>
              <w:bottom w:val="dotted" w:color="auto" w:sz="4" w:space="0"/>
            </w:tcBorders>
            <w:shd w:val="clear" w:color="auto" w:fill="auto"/>
            <w:vAlign w:val="center"/>
          </w:tcPr>
          <w:p w14:paraId="72E907FD">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1 μm</w:t>
            </w:r>
          </w:p>
        </w:tc>
        <w:tc>
          <w:tcPr>
            <w:tcW w:w="2514" w:type="dxa"/>
            <w:tcBorders>
              <w:top w:val="dotted" w:color="auto" w:sz="4" w:space="0"/>
              <w:bottom w:val="dotted" w:color="auto" w:sz="4" w:space="0"/>
            </w:tcBorders>
            <w:shd w:val="clear" w:color="auto" w:fill="auto"/>
            <w:vAlign w:val="center"/>
          </w:tcPr>
          <w:p w14:paraId="245C34A5">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150/200 Hz 次同步振动抑制</w:t>
            </w:r>
          </w:p>
        </w:tc>
      </w:tr>
      <w:tr w14:paraId="289255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dotted" w:color="auto" w:sz="4" w:space="0"/>
              <w:bottom w:val="nil"/>
            </w:tcBorders>
            <w:shd w:val="clear" w:color="auto" w:fill="auto"/>
            <w:vAlign w:val="center"/>
          </w:tcPr>
          <w:p w14:paraId="474A0DDD">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三瓣型 GFB（无垫片）</w:t>
            </w:r>
          </w:p>
        </w:tc>
        <w:tc>
          <w:tcPr>
            <w:tcW w:w="1970" w:type="dxa"/>
            <w:tcBorders>
              <w:top w:val="dotted" w:color="auto" w:sz="4" w:space="0"/>
            </w:tcBorders>
            <w:shd w:val="clear" w:color="auto" w:fill="auto"/>
            <w:vAlign w:val="center"/>
          </w:tcPr>
          <w:p w14:paraId="048A8773">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100 krpm</w:t>
            </w:r>
          </w:p>
        </w:tc>
        <w:tc>
          <w:tcPr>
            <w:tcW w:w="1742" w:type="dxa"/>
            <w:tcBorders>
              <w:top w:val="dotted" w:color="auto" w:sz="4" w:space="0"/>
              <w:bottom w:val="dotted" w:color="auto" w:sz="4" w:space="0"/>
            </w:tcBorders>
            <w:shd w:val="clear" w:color="auto" w:fill="auto"/>
            <w:vAlign w:val="center"/>
          </w:tcPr>
          <w:p w14:paraId="0C3BEB7F">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50 μm</w:t>
            </w:r>
          </w:p>
        </w:tc>
        <w:tc>
          <w:tcPr>
            <w:tcW w:w="2514" w:type="dxa"/>
            <w:tcBorders>
              <w:top w:val="dotted" w:color="auto" w:sz="4" w:space="0"/>
              <w:bottom w:val="dotted" w:color="auto" w:sz="4" w:space="0"/>
            </w:tcBorders>
            <w:shd w:val="clear" w:color="auto" w:fill="auto"/>
            <w:vAlign w:val="center"/>
          </w:tcPr>
          <w:p w14:paraId="47621EAC">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200 Hz 次同步振动失稳</w:t>
            </w:r>
          </w:p>
        </w:tc>
      </w:tr>
      <w:tr w14:paraId="68AB4E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dotted" w:color="auto" w:sz="4" w:space="0"/>
              <w:bottom w:val="nil"/>
            </w:tcBorders>
            <w:shd w:val="clear" w:color="auto" w:fill="auto"/>
            <w:vAlign w:val="center"/>
          </w:tcPr>
          <w:p w14:paraId="35CCDAC4">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三瓣型 GFB（60 μm 垫片）</w:t>
            </w:r>
          </w:p>
        </w:tc>
        <w:tc>
          <w:tcPr>
            <w:tcW w:w="1970" w:type="dxa"/>
            <w:tcBorders>
              <w:top w:val="dotted" w:color="auto" w:sz="4" w:space="0"/>
            </w:tcBorders>
            <w:shd w:val="clear" w:color="auto" w:fill="auto"/>
            <w:vAlign w:val="center"/>
          </w:tcPr>
          <w:p w14:paraId="6CE25271">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100 krpm</w:t>
            </w:r>
          </w:p>
        </w:tc>
        <w:tc>
          <w:tcPr>
            <w:tcW w:w="1742" w:type="dxa"/>
            <w:tcBorders>
              <w:top w:val="dotted" w:color="auto" w:sz="4" w:space="0"/>
              <w:bottom w:val="dotted" w:color="auto" w:sz="4" w:space="0"/>
            </w:tcBorders>
            <w:shd w:val="clear" w:color="auto" w:fill="auto"/>
            <w:vAlign w:val="center"/>
          </w:tcPr>
          <w:p w14:paraId="13F9F7A5">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50 μm</w:t>
            </w:r>
          </w:p>
        </w:tc>
        <w:tc>
          <w:tcPr>
            <w:tcW w:w="2514" w:type="dxa"/>
            <w:tcBorders>
              <w:top w:val="dotted" w:color="auto" w:sz="4" w:space="0"/>
              <w:bottom w:val="dotted" w:color="auto" w:sz="4" w:space="0"/>
            </w:tcBorders>
            <w:shd w:val="clear" w:color="auto" w:fill="auto"/>
            <w:vAlign w:val="center"/>
          </w:tcPr>
          <w:p w14:paraId="456D4F08">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150/200 Hz 次同步振动抑制</w:t>
            </w:r>
          </w:p>
        </w:tc>
      </w:tr>
      <w:tr w14:paraId="62B914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2795" w:type="dxa"/>
            <w:tcBorders>
              <w:top w:val="dotted" w:color="auto" w:sz="4" w:space="0"/>
              <w:bottom w:val="single" w:color="auto" w:sz="8" w:space="0"/>
            </w:tcBorders>
            <w:shd w:val="clear" w:color="auto" w:fill="auto"/>
            <w:vAlign w:val="center"/>
          </w:tcPr>
          <w:p w14:paraId="021EE1EB">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三瓣型 GFB（双波箔）</w:t>
            </w:r>
          </w:p>
        </w:tc>
        <w:tc>
          <w:tcPr>
            <w:tcW w:w="1970" w:type="dxa"/>
            <w:tcBorders>
              <w:top w:val="dotted" w:color="auto" w:sz="4" w:space="0"/>
            </w:tcBorders>
            <w:shd w:val="clear" w:color="auto" w:fill="auto"/>
            <w:vAlign w:val="center"/>
          </w:tcPr>
          <w:p w14:paraId="2785FE93">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145 krpm</w:t>
            </w:r>
          </w:p>
        </w:tc>
        <w:tc>
          <w:tcPr>
            <w:tcW w:w="1742" w:type="dxa"/>
            <w:tcBorders>
              <w:top w:val="dotted" w:color="auto" w:sz="4" w:space="0"/>
              <w:bottom w:val="single" w:color="auto" w:sz="8" w:space="0"/>
            </w:tcBorders>
            <w:shd w:val="clear" w:color="auto" w:fill="auto"/>
            <w:vAlign w:val="center"/>
          </w:tcPr>
          <w:p w14:paraId="69328D14">
            <w:pPr>
              <w:widowControl/>
              <w:adjustRightInd w:val="0"/>
              <w:snapToGrid w:val="0"/>
              <w:spacing w:line="260" w:lineRule="atLeast"/>
              <w:jc w:val="center"/>
              <w:rPr>
                <w:rFonts w:hint="eastAsia" w:ascii="Times New Roman" w:hAnsi="Times New Roman" w:eastAsia="宋体" w:cs="Times New Roman"/>
                <w:bCs/>
                <w:snapToGrid w:val="0"/>
                <w:color w:val="000000"/>
                <w:kern w:val="0"/>
                <w:sz w:val="18"/>
                <w:szCs w:val="18"/>
                <w:lang w:val="en-US" w:eastAsia="zh-CN" w:bidi="en-US"/>
              </w:rPr>
            </w:pPr>
            <w:r>
              <w:rPr>
                <w:rFonts w:hint="eastAsia" w:ascii="Times New Roman" w:hAnsi="Times New Roman" w:eastAsia="宋体" w:cs="Times New Roman"/>
                <w:bCs/>
                <w:snapToGrid w:val="0"/>
                <w:color w:val="000000"/>
                <w:kern w:val="0"/>
                <w:sz w:val="18"/>
                <w:szCs w:val="18"/>
                <w:lang w:val="en-US" w:eastAsia="zh-CN" w:bidi="en-US"/>
              </w:rPr>
              <w:t>10 μm</w:t>
            </w:r>
          </w:p>
        </w:tc>
        <w:tc>
          <w:tcPr>
            <w:tcW w:w="2514" w:type="dxa"/>
            <w:tcBorders>
              <w:top w:val="dotted" w:color="auto" w:sz="4" w:space="0"/>
              <w:bottom w:val="single" w:color="auto" w:sz="8" w:space="0"/>
            </w:tcBorders>
            <w:shd w:val="clear" w:color="auto" w:fill="auto"/>
            <w:vAlign w:val="center"/>
          </w:tcPr>
          <w:p w14:paraId="7E3B27A7">
            <w:pPr>
              <w:widowControl/>
              <w:adjustRightInd w:val="0"/>
              <w:snapToGrid w:val="0"/>
              <w:spacing w:line="260" w:lineRule="atLeast"/>
              <w:jc w:val="center"/>
              <w:rPr>
                <w:rFonts w:hint="eastAsia" w:ascii="Times New Roman" w:hAnsi="Times New Roman"/>
                <w:bCs/>
                <w:snapToGrid w:val="0"/>
                <w:color w:val="000000"/>
                <w:kern w:val="0"/>
                <w:sz w:val="18"/>
                <w:szCs w:val="18"/>
                <w:lang w:bidi="en-US"/>
              </w:rPr>
            </w:pPr>
            <w:r>
              <w:rPr>
                <w:rFonts w:hint="eastAsia" w:ascii="Times New Roman" w:hAnsi="Times New Roman" w:eastAsia="宋体" w:cs="Times New Roman"/>
                <w:bCs/>
                <w:snapToGrid w:val="0"/>
                <w:color w:val="000000"/>
                <w:kern w:val="0"/>
                <w:sz w:val="18"/>
                <w:szCs w:val="18"/>
                <w:lang w:val="en-US" w:eastAsia="zh-CN" w:bidi="en-US"/>
              </w:rPr>
              <w:t>350/450 Hz 次同步振动消失</w:t>
            </w:r>
          </w:p>
        </w:tc>
      </w:tr>
    </w:tbl>
    <w:p w14:paraId="20716352">
      <w:pPr>
        <w:ind w:firstLine="181" w:firstLineChars="100"/>
        <w:jc w:val="center"/>
        <w:rPr>
          <w:rFonts w:hint="default" w:ascii="Times New Roman" w:hAnsi="Times New Roman"/>
          <w:b/>
          <w:bCs/>
          <w:sz w:val="18"/>
          <w:szCs w:val="18"/>
          <w:lang w:val="en-US" w:eastAsia="zh-CN"/>
        </w:rPr>
      </w:pPr>
    </w:p>
    <w:p w14:paraId="61C182D9">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通过实验可以得出，通过添加 60 μm 垫片来减小轴承间隙，可有效抑制次同步振动。三瓣型 GFB 较整周型稳定转速提升，表明三瓣型 GFB 承载能力更高。此外，选用双波箔可以增强轴承刚度进一步提升稳定转速至 145 krpm，接近额定 150 krpm。</w:t>
      </w:r>
    </w:p>
    <w:p w14:paraId="5168F056">
      <w:pPr>
        <w:pStyle w:val="3"/>
        <w:rPr>
          <w:rFonts w:hint="eastAsia" w:ascii="Times New Roman" w:hAnsi="Times New Roman" w:eastAsia="黑体" w:cs="Times New Roman"/>
          <w:b/>
          <w:bCs w:val="0"/>
          <w:kern w:val="2"/>
          <w:sz w:val="28"/>
          <w:szCs w:val="28"/>
          <w:lang w:val="en-US" w:eastAsia="zh-CN" w:bidi="ar-SA"/>
        </w:rPr>
      </w:pPr>
      <w:r>
        <w:rPr>
          <w:rFonts w:hint="eastAsia" w:ascii="Times New Roman" w:hAnsi="Times New Roman" w:eastAsia="黑体" w:cs="Times New Roman"/>
          <w:b/>
          <w:bCs w:val="0"/>
          <w:kern w:val="2"/>
          <w:sz w:val="28"/>
          <w:szCs w:val="28"/>
          <w:lang w:val="en-US" w:eastAsia="zh-CN" w:bidi="ar-SA"/>
        </w:rPr>
        <w:t>4  结论</w:t>
      </w:r>
    </w:p>
    <w:p w14:paraId="42B0140E">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本文成功设计并制作了适用于燃料电池乘用车的超高速离心空压机，额定参数为功率 5 kW、转速 150 krpm、流量 50 g/s、压比 2.1</w:t>
      </w:r>
      <w:r>
        <w:rPr>
          <w:rFonts w:hint="eastAsia" w:ascii="Times New Roman" w:hAnsi="Times New Roman" w:eastAsia="宋体" w:cs="Times New Roman"/>
          <w:kern w:val="2"/>
          <w:szCs w:val="21"/>
          <w:lang w:val="en-US" w:eastAsia="zh-CN" w:bidi="ar-SA"/>
        </w:rPr>
        <w:t>，采用 PMSM+GFB 技术路线，实现了无油超高速运行，同时验证了该技术方案的可行性。</w:t>
      </w:r>
    </w:p>
    <w:p w14:paraId="58DDB153">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基于 Heshmat “四步法” 与 Link-Spring 模型的 GFB 设计方法，可有效优化轴承静动态特性。螺旋槽水冷 加气冷复合冷却系统能将电机最高温度控制在 155℃以内，满足永磁体热安全要求，转子动力学与强度分析确保了超高速下的运行安全。</w:t>
      </w:r>
    </w:p>
    <w:p w14:paraId="0DC64039">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实验表明，三瓣型 GFB 比整周型更适用于超高速场景，通过减小轴承间隙（60 μm 垫片）与增强轴承刚度（双波箔结构），可将空压机稳定运行转速提升至 145 krpm，次同步振动得到显著抑制，转子同频振动幅值降至 10 μm。</w:t>
      </w:r>
    </w:p>
    <w:p w14:paraId="62C9CA26">
      <w:pPr>
        <w:adjustRightInd w:val="0"/>
        <w:snapToGrid w:val="0"/>
        <w:ind w:firstLine="420" w:firstLineChars="200"/>
        <w:rPr>
          <w:rFonts w:hint="eastAsia" w:ascii="Times New Roman" w:hAnsi="Times New Roman" w:eastAsia="宋体" w:cs="Times New Roman"/>
          <w:kern w:val="2"/>
          <w:szCs w:val="21"/>
          <w:lang w:val="en-US" w:eastAsia="zh-CN" w:bidi="ar-SA"/>
        </w:rPr>
      </w:pPr>
      <w:r>
        <w:rPr>
          <w:rFonts w:hint="eastAsia" w:ascii="Times New Roman" w:hAnsi="Times New Roman" w:eastAsia="宋体" w:cs="Times New Roman"/>
          <w:kern w:val="2"/>
          <w:szCs w:val="21"/>
          <w:lang w:val="en-US" w:eastAsia="zh-CN" w:bidi="ar-SA"/>
        </w:rPr>
        <w:t>后续研究需优化变频器参数以实现 150 krpm 额定转速运行，开展流量 - 压比性能测试，并通过整车适配实验验证空压机在复杂工况下的稳定性，为燃料电池汽车空压机产业化提供理论与实验支撑。</w:t>
      </w:r>
    </w:p>
    <w:sectPr>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useFELayout/>
    <w:compatSetting w:name="compatibilityMode" w:uri="http://schemas.microsoft.com/office/word" w:val="15"/>
  </w:compat>
  <w:rsids>
    <w:rsidRoot w:val="00000000"/>
    <w:rsid w:val="1DE81558"/>
    <w:rsid w:val="469F45FA"/>
    <w:rsid w:val="4B1F5D09"/>
    <w:rsid w:val="4D4E3518"/>
    <w:rsid w:val="6ACB3360"/>
    <w:rsid w:val="6DDA22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Plain Text"/>
    <w:basedOn w:val="1"/>
    <w:qFormat/>
    <w:uiPriority w:val="0"/>
    <w:rPr>
      <w:rFonts w:ascii="宋体" w:hAnsi="Courier New" w:cs="Courier New"/>
      <w:szCs w:val="21"/>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pPr>
      <w:spacing w:before="480" w:after="480" w:line="288" w:lineRule="auto"/>
      <w:ind w:left="0"/>
    </w:pPr>
    <w:rPr>
      <w:rFonts w:ascii="Arial" w:hAnsi="Arial" w:eastAsia="等线" w:cs="Arial"/>
      <w:b/>
      <w:bCs/>
      <w:sz w:val="52"/>
      <w:szCs w:val="52"/>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qFormat/>
    <w:uiPriority w:val="99"/>
    <w:rPr>
      <w:sz w:val="20"/>
      <w:szCs w:val="20"/>
    </w:rPr>
  </w:style>
  <w:style w:type="paragraph" w:customStyle="1" w:styleId="18">
    <w:name w:val="_Style 13"/>
    <w:qFormat/>
    <w:uiPriority w:val="0"/>
    <w:pPr>
      <w:spacing w:before="120" w:after="120" w:line="288" w:lineRule="auto"/>
      <w:ind w:left="0"/>
      <w:jc w:val="left"/>
    </w:pPr>
    <w:rPr>
      <w:rFonts w:ascii="Arial" w:hAnsi="Arial" w:eastAsia="等线" w:cs="Arial"/>
      <w:sz w:val="22"/>
      <w:szCs w:val="22"/>
    </w:rPr>
  </w:style>
  <w:style w:type="paragraph" w:customStyle="1" w:styleId="19">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2705</Words>
  <Characters>4671</Characters>
  <TotalTime>53</TotalTime>
  <ScaleCrop>false</ScaleCrop>
  <LinksUpToDate>false</LinksUpToDate>
  <CharactersWithSpaces>5200</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2025-09-03T10:07:00Z</dcterms:created>
  <dc:creator>Un-named</dc:creator>
  <cp:lastModifiedBy>彭XR</cp:lastModifiedBy>
  <dcterms:modified xsi:type="dcterms:W3CDTF">2025-09-04T18:19:00Z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eyJoZGlkIjoiNGE3MTVkZTgxYmI0M2ZhNjljNjhhNTgwNWEzMWQ2NmQiLCJ1c2VySWQiOiI4MDM3OTk2NjYifQ==</vt:lpwstr>
  </property>
  <property fmtid="{D5CDD505-2E9C-101B-9397-08002B2CF9AE}" pid="3" name="KSOProductBuildVer">
    <vt:lpwstr>2052-12.1.0.21541</vt:lpwstr>
  </property>
  <property fmtid="{D5CDD505-2E9C-101B-9397-08002B2CF9AE}" pid="4" name="ICV">
    <vt:lpwstr>AAEA97C6239E4EF183BE31D19CC139B3_12</vt:lpwstr>
  </property>
</Properties>
</file>