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579B6">
      <w:pPr>
        <w:pStyle w:val="30"/>
        <w:widowControl/>
        <w:spacing w:line="440" w:lineRule="atLeast"/>
        <w:jc w:val="center"/>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权利要求书</w:t>
      </w:r>
    </w:p>
    <w:p w14:paraId="664D545D">
      <w:pPr>
        <w:pStyle w:val="14"/>
        <w:numPr>
          <w:ilvl w:val="0"/>
          <w:numId w:val="7"/>
        </w:numPr>
        <w:spacing w:after="60"/>
      </w:pPr>
      <w:r>
        <w:rPr>
          <w:rFonts w:ascii="宋体" w:hAnsi="宋体" w:eastAsia="宋体"/>
          <w:sz w:val="21"/>
        </w:rPr>
        <w:t>一种水稻养分遥感诊断无人机精准施肥的方法，其特征在于，包括</w:t>
      </w:r>
      <w:r>
        <w:rPr>
          <w:rFonts w:hint="eastAsia"/>
          <w:sz w:val="21"/>
          <w:lang w:val="en-US" w:eastAsia="zh-CN"/>
        </w:rPr>
        <w:t>以下步骤</w:t>
      </w:r>
      <w:r>
        <w:rPr>
          <w:rFonts w:ascii="宋体" w:hAnsi="宋体" w:eastAsia="宋体"/>
          <w:sz w:val="21"/>
        </w:rPr>
        <w:t>：</w:t>
      </w:r>
    </w:p>
    <w:p w14:paraId="270116B7">
      <w:pPr>
        <w:spacing w:after="120" w:line="276" w:lineRule="auto"/>
      </w:pPr>
      <w:r>
        <w:rPr>
          <w:rFonts w:hint="eastAsia"/>
          <w:sz w:val="21"/>
          <w:lang w:val="en-US" w:eastAsia="zh-CN"/>
        </w:rPr>
        <w:t>步骤1：</w:t>
      </w:r>
      <w:r>
        <w:rPr>
          <w:rFonts w:ascii="宋体" w:hAnsi="宋体" w:eastAsia="宋体"/>
          <w:sz w:val="21"/>
        </w:rPr>
        <w:t>获取水稻田绿光</w:t>
      </w:r>
      <w:r>
        <w:rPr>
          <w:rFonts w:hint="eastAsia"/>
          <w:sz w:val="21"/>
          <w:lang w:val="en-US" w:eastAsia="zh-CN"/>
        </w:rPr>
        <w:t>Green</w:t>
      </w:r>
      <w:r>
        <w:rPr>
          <w:rFonts w:ascii="宋体" w:hAnsi="宋体" w:eastAsia="宋体"/>
          <w:sz w:val="21"/>
        </w:rPr>
        <w:t>、红光</w:t>
      </w:r>
      <w:r>
        <w:rPr>
          <w:rFonts w:hint="eastAsia"/>
          <w:sz w:val="21"/>
          <w:lang w:val="en-US" w:eastAsia="zh-CN"/>
        </w:rPr>
        <w:t>Red</w:t>
      </w:r>
      <w:r>
        <w:rPr>
          <w:rFonts w:ascii="宋体" w:hAnsi="宋体" w:eastAsia="宋体"/>
          <w:sz w:val="21"/>
        </w:rPr>
        <w:t>和近红外</w:t>
      </w:r>
      <w:r>
        <w:rPr>
          <w:rFonts w:hint="eastAsia"/>
          <w:sz w:val="21"/>
          <w:lang w:val="en-US" w:eastAsia="zh-CN"/>
        </w:rPr>
        <w:t>NIR</w:t>
      </w:r>
      <w:r>
        <w:rPr>
          <w:rFonts w:ascii="宋体" w:hAnsi="宋体" w:eastAsia="宋体"/>
          <w:sz w:val="21"/>
        </w:rPr>
        <w:t>波段反射率影像，并确定待诊断水稻的生育期；</w:t>
      </w:r>
    </w:p>
    <w:p w14:paraId="236D23BC">
      <w:pPr>
        <w:spacing w:after="120" w:line="276" w:lineRule="auto"/>
      </w:pPr>
      <w:r>
        <w:rPr>
          <w:rFonts w:hint="eastAsia"/>
          <w:sz w:val="21"/>
          <w:lang w:val="en-US" w:eastAsia="zh-CN"/>
        </w:rPr>
        <w:t>步骤2：</w:t>
      </w:r>
      <w:r>
        <w:rPr>
          <w:rFonts w:ascii="宋体" w:hAnsi="宋体" w:eastAsia="宋体"/>
          <w:sz w:val="21"/>
        </w:rPr>
        <w:t>根据所述生育期选择相互对应的植被指数函数和诊断函数，由各有效像元的绿光、红光和近红外波段反射率计算植被指数，并由所述植被指数计算养分诊断值；</w:t>
      </w:r>
    </w:p>
    <w:p w14:paraId="2FB8F166">
      <w:pPr>
        <w:spacing w:after="120" w:line="276" w:lineRule="auto"/>
      </w:pPr>
      <w:r>
        <w:rPr>
          <w:rFonts w:hint="eastAsia"/>
          <w:sz w:val="21"/>
          <w:lang w:val="en-US" w:eastAsia="zh-CN"/>
        </w:rPr>
        <w:t>步骤3：</w:t>
      </w:r>
      <w:r>
        <w:rPr>
          <w:rFonts w:ascii="宋体" w:hAnsi="宋体" w:eastAsia="宋体"/>
          <w:sz w:val="21"/>
        </w:rPr>
        <w:t>由诊断范围内的有效养分诊断值集合按照与所述生育期对应的分位点计算分位阈值，以相邻分位阈值限定养分等级区间，并根据各有效像元的养分诊断值所属的养分等级区间确定养分诊断等级；</w:t>
      </w:r>
    </w:p>
    <w:p w14:paraId="46AE0E3C">
      <w:pPr>
        <w:spacing w:after="120" w:line="276" w:lineRule="auto"/>
      </w:pPr>
      <w:r>
        <w:rPr>
          <w:rFonts w:hint="eastAsia"/>
          <w:sz w:val="21"/>
          <w:lang w:val="en-US" w:eastAsia="zh-CN"/>
        </w:rPr>
        <w:t>步骤4：</w:t>
      </w:r>
      <w:r>
        <w:rPr>
          <w:rFonts w:ascii="宋体" w:hAnsi="宋体" w:eastAsia="宋体"/>
          <w:sz w:val="21"/>
        </w:rPr>
        <w:t>根据基准等级、基准施肥量和等级变化系数建立养分诊断等级与单位面积施肥量之间的映射关系，将各有效像元的养分诊断等级转换为像元级施肥量；</w:t>
      </w:r>
    </w:p>
    <w:p w14:paraId="53C801D1">
      <w:pPr>
        <w:spacing w:after="120" w:line="276" w:lineRule="auto"/>
      </w:pPr>
      <w:r>
        <w:rPr>
          <w:rFonts w:hint="eastAsia"/>
          <w:sz w:val="21"/>
          <w:lang w:val="en-US" w:eastAsia="zh-CN"/>
        </w:rPr>
        <w:t>步骤5：</w:t>
      </w:r>
      <w:r>
        <w:rPr>
          <w:rFonts w:ascii="宋体" w:hAnsi="宋体" w:eastAsia="宋体"/>
          <w:sz w:val="21"/>
        </w:rPr>
        <w:t>测量源坐标系横向和纵向一个坐标单位分别对应的真实地面距离，根据目标处方格的地面边长计算目标处方格在所述源坐标系中的横向尺寸和纵向尺寸，并按照源像元与目标处方格的重叠面积，对目标处方格内的有效像元级施肥量进行加权平均，得到无人机施肥处方图。</w:t>
      </w:r>
    </w:p>
    <w:p w14:paraId="33EDE9D5">
      <w:pPr>
        <w:pStyle w:val="14"/>
        <w:numPr>
          <w:ilvl w:val="0"/>
          <w:numId w:val="8"/>
        </w:numPr>
        <w:spacing w:after="60"/>
      </w:pPr>
      <w:r>
        <w:t>根据权利要求1所述的方法，其特征在于，步骤1中将水稻田RGB影像输入分割一切（SAM）模型；在点提示分割模式下，根据用户在待处理影像上提供的一个或多个点提示生成候选分割掩膜，或者在自动分割模式下生成候选掩膜集合；依据候选掩膜与预设农田区域确定条件的匹配结果，确定水稻田农田区域掩膜。</w:t>
      </w:r>
    </w:p>
    <w:p w14:paraId="33EDE9D5">
      <w:pPr>
        <w:pStyle w:val="14"/>
        <w:numPr>
          <w:ilvl w:val="0"/>
          <w:numId w:val="8"/>
        </w:numPr>
        <w:spacing w:after="60"/>
      </w:pPr>
      <w:r>
        <w:t>根据权利要求2所述的方法，其特征在于，将所述农田区域掩膜转换为矢量边界，并根据所述RGB影像的地理参考信息将矢量边界转换至地理坐标系，生成并保存农田边界的Shapefile文件。</w:t>
      </w:r>
    </w:p>
    <w:p w14:paraId="33EDE9D5">
      <w:pPr>
        <w:pStyle w:val="14"/>
        <w:numPr>
          <w:ilvl w:val="0"/>
          <w:numId w:val="8"/>
        </w:numPr>
        <w:spacing w:after="60"/>
      </w:pPr>
      <w:r>
        <w:t>根据权利要求2所述的方法，其特征在于，根据所述RGB影像以及近红外、红边、绿光和红光多光谱影像各自的地理参考信息，将所述农田区域掩膜映射至各影像的像元网格；按照映射后的掩膜限定各影像的农田区域，并将掩膜外像元设为无效像元或从后续计算中排除。</w:t>
      </w:r>
    </w:p>
    <w:p w14:paraId="33EDE9D5">
      <w:pPr>
        <w:pStyle w:val="14"/>
        <w:numPr>
          <w:ilvl w:val="0"/>
          <w:numId w:val="8"/>
        </w:numPr>
        <w:spacing w:after="60"/>
      </w:pPr>
      <w:r>
        <w:t>根据权利要求3所述的方法，其特征在于，步骤2和步骤3仅将位于所述农田区域掩膜内且参与计算的波段均为有效值的像元作为有效像元，计算所述植被指数、养分诊断值和分位阈值，并据此确定养分诊断等级，以排除农田区域外像元对分位数分级施肥的影响。</w:t>
      </w:r>
    </w:p>
    <w:p w14:paraId="33EDE9D5">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步骤3中</w:t>
      </w:r>
      <w:r>
        <w:rPr>
          <w:rFonts w:ascii="宋体" w:hAnsi="宋体" w:eastAsia="宋体"/>
          <w:sz w:val="21"/>
        </w:rPr>
        <w:t>幼苗期采用土壤调节植被指数，所述土壤调节植被指数</w:t>
      </w:r>
      <w:r>
        <w:rPr>
          <w:rFonts w:hint="eastAsia"/>
          <w:sz w:val="21"/>
          <w:lang w:val="en-US" w:eastAsia="zh-CN"/>
        </w:rPr>
        <w:t>(SAVI)，其公式为：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SAVI=1.10</m:t>
          </m:r>
          <m:r>
            <m:rPr/>
            <w:rPr>
              <w:rFonts w:hint="eastAsia" w:ascii="Cambria Math" w:hAnsi="Cambria Math" w:cstheme="minorBidi"/>
              <w:sz w:val="21"/>
              <w:szCs w:val="22"/>
              <w:lang w:val="en-US" w:eastAsia="zh-CN" w:bidi="ar-SA"/>
            </w:rPr>
            <m:t>×</m:t>
          </m:r>
          <m:f>
            <m:fPr>
              <m:ctrlPr>
                <m:rPr/>
                <w:rPr>
                  <w:rFonts w:hint="eastAsia" w:ascii="Cambria Math" w:hAnsi="Cambria Math" w:cstheme="minorBidi"/>
                  <w:i/>
                  <w:sz w:val="21"/>
                  <w:szCs w:val="22"/>
                  <w:lang w:val="en-US" w:eastAsia="zh-CN" w:bidi="ar-SA"/>
                </w:rPr>
              </m:ctrlPr>
            </m:fPr>
            <m:num>
              <m:r>
                <m:rPr/>
                <w:rPr>
                  <w:rFonts w:hint="default" w:ascii="Cambria Math" w:hAnsi="Cambria Math" w:cstheme="minorBidi"/>
                  <w:sz w:val="21"/>
                  <w:szCs w:val="22"/>
                  <w:lang w:val="en-US" w:eastAsia="zh-CN" w:bidi="ar-SA"/>
                </w:rPr>
                <m:t>(NIR−Red)</m:t>
              </m:r>
              <m:ctrlPr>
                <m:rPr/>
                <w:rPr>
                  <w:rFonts w:hint="eastAsia" w:ascii="Cambria Math" w:hAnsi="Cambria Math" w:cstheme="minorBidi"/>
                  <w:i/>
                  <w:sz w:val="21"/>
                  <w:szCs w:val="22"/>
                  <w:lang w:val="en-US" w:eastAsia="zh-CN" w:bidi="ar-SA"/>
                </w:rPr>
              </m:ctrlPr>
            </m:num>
            <m:den>
              <m:r>
                <m:rPr/>
                <w:rPr>
                  <w:rFonts w:hint="default" w:ascii="Cambria Math" w:hAnsi="Cambria Math" w:cstheme="minorBidi"/>
                  <w:sz w:val="21"/>
                  <w:szCs w:val="22"/>
                  <w:lang w:val="en-US" w:eastAsia="zh-CN" w:bidi="ar-SA"/>
                </w:rPr>
                <m:t>(NIR+Red+0.1)</m:t>
              </m:r>
              <m:ctrlPr>
                <m:rPr/>
                <w:rPr>
                  <w:rFonts w:hint="eastAsia" w:ascii="Cambria Math" w:hAnsi="Cambria Math" w:cstheme="minorBidi"/>
                  <w:i/>
                  <w:sz w:val="21"/>
                  <w:szCs w:val="22"/>
                  <w:lang w:val="en-US" w:eastAsia="zh-CN" w:bidi="ar-SA"/>
                </w:rPr>
              </m:ctrlPr>
            </m:den>
          </m:f>
        </m:oMath>
      </m:oMathPara>
      <w:r>
        <w:rPr>
          <w:rFonts w:hint="eastAsia"/>
          <w:sz w:val="21"/>
          <w:lang w:val="en-US" w:eastAsia="zh-CN"/>
        </w:rPr>
        <w:br w:type="textWrapping"/>
      </w:r>
      <w:r>
        <w:rPr>
          <w:rFonts w:ascii="宋体" w:hAnsi="宋体" w:eastAsia="宋体"/>
          <w:sz w:val="21"/>
        </w:rPr>
        <w:t>养分诊断值</w:t>
      </w:r>
      <w:r>
        <w:rPr>
          <w:rFonts w:hint="eastAsia"/>
          <w:sz w:val="21"/>
          <w:lang w:val="en-US" w:eastAsia="zh-CN"/>
        </w:rPr>
        <w:t>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D=95.7</m:t>
          </m:r>
          <m:r>
            <m:rPr/>
            <w:rPr>
              <w:rFonts w:hint="eastAsia"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SAVI+18.4</m:t>
          </m:r>
        </m:oMath>
      </m:oMathPara>
    </w:p>
    <w:p w14:paraId="25E81966">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步骤3中</w:t>
      </w:r>
      <w:r>
        <w:rPr>
          <w:rFonts w:ascii="宋体" w:hAnsi="宋体" w:eastAsia="宋体"/>
          <w:sz w:val="21"/>
        </w:rPr>
        <w:t>分蘖期采用优化土壤调节植被指数</w:t>
      </w:r>
      <w:r>
        <w:rPr>
          <w:rFonts w:hint="eastAsia"/>
          <w:sz w:val="21"/>
          <w:lang w:val="en-US" w:eastAsia="zh-CN"/>
        </w:rPr>
        <w:t>(OSAVI),其公式为：</w:t>
      </w:r>
      <w:r>
        <w:rPr>
          <w:rFonts w:hint="eastAsia"/>
          <w:sz w:val="21"/>
          <w:lang w:val="en-US" w:eastAsia="zh-CN"/>
        </w:rPr>
        <w:br w:type="textWrapping"/>
      </w:r>
      <m:oMathPara>
        <m:oMath>
          <m:r>
            <m:rPr/>
            <w:rPr>
              <w:rFonts w:hint="default" w:ascii="Cambria Math"/>
              <w:sz w:val="21"/>
              <w:lang w:val="en-US" w:eastAsia="zh-CN"/>
            </w:rPr>
            <m:t>O</m:t>
          </m:r>
          <m:r>
            <m:rPr/>
            <w:rPr>
              <w:rFonts w:hint="default" w:ascii="Cambria Math" w:hAnsi="Cambria Math" w:cstheme="minorBidi"/>
              <w:sz w:val="21"/>
              <w:szCs w:val="22"/>
              <w:lang w:val="en-US" w:eastAsia="zh-CN" w:bidi="ar-SA"/>
            </w:rPr>
            <m:t>SAVI=1.16</m:t>
          </m:r>
          <m:r>
            <m:rPr/>
            <w:rPr>
              <w:rFonts w:hint="eastAsia" w:ascii="Cambria Math" w:hAnsi="Cambria Math" w:cstheme="minorBidi"/>
              <w:sz w:val="21"/>
              <w:szCs w:val="22"/>
              <w:lang w:val="en-US" w:eastAsia="zh-CN" w:bidi="ar-SA"/>
            </w:rPr>
            <m:t>×</m:t>
          </m:r>
          <m:f>
            <m:fPr>
              <m:ctrlPr>
                <w:rPr>
                  <w:rFonts w:hint="eastAsia" w:ascii="Cambria Math" w:hAnsi="Cambria Math" w:cstheme="minorBidi"/>
                  <w:i/>
                  <w:sz w:val="21"/>
                  <w:szCs w:val="22"/>
                  <w:lang w:val="en-US" w:eastAsia="zh-CN" w:bidi="ar-SA"/>
                </w:rPr>
              </m:ctrlPr>
            </m:fPr>
            <m:num>
              <m:r>
                <m:rPr/>
                <w:rPr>
                  <w:rFonts w:hint="default" w:ascii="Cambria Math" w:hAnsi="Cambria Math" w:cstheme="minorBidi"/>
                  <w:sz w:val="21"/>
                  <w:szCs w:val="22"/>
                  <w:lang w:val="en-US" w:eastAsia="zh-CN" w:bidi="ar-SA"/>
                </w:rPr>
                <m:t>(NIR−Red)</m:t>
              </m:r>
              <m:ctrlPr>
                <w:rPr>
                  <w:rFonts w:hint="eastAsia" w:ascii="Cambria Math" w:hAnsi="Cambria Math" w:cstheme="minorBidi"/>
                  <w:i/>
                  <w:sz w:val="21"/>
                  <w:szCs w:val="22"/>
                  <w:lang w:val="en-US" w:eastAsia="zh-CN" w:bidi="ar-SA"/>
                </w:rPr>
              </m:ctrlPr>
            </m:num>
            <m:den>
              <m:r>
                <m:rPr/>
                <w:rPr>
                  <w:rFonts w:hint="default" w:ascii="Cambria Math" w:hAnsi="Cambria Math" w:cstheme="minorBidi"/>
                  <w:sz w:val="21"/>
                  <w:szCs w:val="22"/>
                  <w:lang w:val="en-US" w:eastAsia="zh-CN" w:bidi="ar-SA"/>
                </w:rPr>
                <m:t>(NIR+Red+0.16)</m:t>
              </m:r>
              <m:ctrlPr>
                <w:rPr>
                  <w:rFonts w:hint="eastAsia" w:ascii="Cambria Math" w:hAnsi="Cambria Math" w:cstheme="minorBidi"/>
                  <w:i/>
                  <w:sz w:val="21"/>
                  <w:szCs w:val="22"/>
                  <w:lang w:val="en-US" w:eastAsia="zh-CN" w:bidi="ar-SA"/>
                </w:rPr>
              </m:ctrlPr>
            </m:den>
          </m:f>
        </m:oMath>
      </m:oMathPara>
      <w:r>
        <w:rPr>
          <w:rFonts w:hint="eastAsia"/>
          <w:sz w:val="21"/>
          <w:lang w:val="en-US" w:eastAsia="zh-CN"/>
        </w:rPr>
        <w:br w:type="textWrapping"/>
      </w:r>
      <w:r>
        <w:rPr>
          <w:rFonts w:ascii="宋体" w:hAnsi="宋体" w:eastAsia="宋体"/>
          <w:sz w:val="21"/>
        </w:rPr>
        <w:t>养分诊断值为所述优化土壤调节植被指数的二次多项式</w:t>
      </w:r>
      <w:r>
        <w:rPr>
          <w:rFonts w:hint="eastAsia"/>
          <w:sz w:val="21"/>
          <w:lang w:eastAsia="zh-CN"/>
        </w:rPr>
        <w:t>，</w:t>
      </w:r>
      <w:r>
        <w:rPr>
          <w:rFonts w:hint="eastAsia"/>
          <w:sz w:val="21"/>
          <w:lang w:val="en-US" w:eastAsia="zh-CN"/>
        </w:rPr>
        <w:t>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D=2845.6</m:t>
          </m:r>
          <m:r>
            <m:rPr/>
            <w:rPr>
              <w:rFonts w:hint="eastAsia" w:ascii="Cambria Math" w:hAnsi="Cambria Math" w:cstheme="minorBidi"/>
              <w:sz w:val="21"/>
              <w:szCs w:val="22"/>
              <w:lang w:val="en-US" w:eastAsia="zh-CN" w:bidi="ar-SA"/>
            </w:rPr>
            <m:t>×</m:t>
          </m:r>
          <m:sSup>
            <m:sSupPr>
              <m:ctrlPr>
                <m:rPr/>
                <w:rPr>
                  <w:rFonts w:hint="eastAsia" w:ascii="Cambria Math" w:hAnsi="Cambria Math" w:cstheme="minorBidi"/>
                  <w:i/>
                  <w:sz w:val="21"/>
                  <w:szCs w:val="22"/>
                  <w:lang w:val="en-US" w:eastAsia="zh-CN" w:bidi="ar-SA"/>
                </w:rPr>
              </m:ctrlPr>
            </m:sSupPr>
            <m:e>
              <m:r>
                <m:rPr/>
                <w:rPr>
                  <w:rFonts w:hint="default" w:ascii="Cambria Math" w:hAnsi="Cambria Math" w:cstheme="minorBidi"/>
                  <w:sz w:val="21"/>
                  <w:szCs w:val="22"/>
                  <w:lang w:val="en-US" w:eastAsia="zh-CN" w:bidi="ar-SA"/>
                </w:rPr>
                <m:t>OSAVI</m:t>
              </m:r>
              <m:ctrlPr>
                <m:rPr/>
                <w:rPr>
                  <w:rFonts w:hint="eastAsia" w:ascii="Cambria Math" w:hAnsi="Cambria Math" w:cstheme="minorBidi"/>
                  <w:i/>
                  <w:sz w:val="21"/>
                  <w:szCs w:val="22"/>
                  <w:lang w:val="en-US" w:eastAsia="zh-CN" w:bidi="ar-SA"/>
                </w:rPr>
              </m:ctrlPr>
            </m:e>
            <m:sup>
              <m:r>
                <m:rPr/>
                <w:rPr>
                  <w:rFonts w:hint="default" w:ascii="Cambria Math" w:hAnsi="Cambria Math" w:cstheme="minorBidi"/>
                  <w:sz w:val="21"/>
                  <w:szCs w:val="22"/>
                  <w:lang w:val="en-US" w:eastAsia="zh-CN" w:bidi="ar-SA"/>
                </w:rPr>
                <m:t>2</m:t>
              </m:r>
              <m:ctrlPr>
                <m:rPr/>
                <w:rPr>
                  <w:rFonts w:hint="eastAsia" w:ascii="Cambria Math" w:hAnsi="Cambria Math" w:cstheme="minorBidi"/>
                  <w:i/>
                  <w:sz w:val="21"/>
                  <w:szCs w:val="22"/>
                  <w:lang w:val="en-US" w:eastAsia="zh-CN" w:bidi="ar-SA"/>
                </w:rPr>
              </m:ctrlPr>
            </m:sup>
          </m:sSup>
          <m:r>
            <m:rPr/>
            <w:rPr>
              <w:rFonts w:hint="default" w:ascii="Cambria Math" w:hAnsi="Cambria Math" w:cstheme="minorBidi"/>
              <w:sz w:val="21"/>
              <w:szCs w:val="22"/>
              <w:lang w:val="en-US" w:eastAsia="zh-CN" w:bidi="ar-SA"/>
            </w:rPr>
            <m:t>−2953.2</m:t>
          </m:r>
          <m:r>
            <m:rPr/>
            <w:rPr>
              <w:rFonts w:hint="eastAsia"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OSAVI+987.5</m:t>
          </m:r>
        </m:oMath>
      </m:oMathPara>
      <w:r>
        <w:rPr>
          <w:rFonts w:hint="eastAsia"/>
          <w:sz w:val="21"/>
          <w:lang w:val="en-US" w:eastAsia="zh-CN"/>
        </w:rPr>
        <w:br w:type="textWrapping"/>
      </w:r>
    </w:p>
    <w:p w14:paraId="4226A691">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步骤3中</w:t>
      </w:r>
      <w:r>
        <w:rPr>
          <w:rFonts w:ascii="宋体" w:hAnsi="宋体" w:eastAsia="宋体"/>
          <w:sz w:val="21"/>
        </w:rPr>
        <w:t>拔节期采用优化土壤调节植被指数</w:t>
      </w:r>
      <w:r>
        <w:rPr>
          <w:rFonts w:hint="eastAsia"/>
          <w:sz w:val="21"/>
          <w:lang w:val="en-US" w:eastAsia="zh-CN"/>
        </w:rPr>
        <w:t>(OSAVI)</w:t>
      </w:r>
      <w:r>
        <w:rPr>
          <w:rFonts w:ascii="宋体" w:hAnsi="宋体" w:eastAsia="宋体"/>
          <w:sz w:val="21"/>
        </w:rPr>
        <w:t>，</w:t>
      </w:r>
      <w:r>
        <w:rPr>
          <w:rFonts w:hint="eastAsia"/>
          <w:sz w:val="21"/>
          <w:lang w:val="en-US" w:eastAsia="zh-CN"/>
        </w:rPr>
        <w:t>其</w:t>
      </w:r>
      <w:r>
        <w:rPr>
          <w:rFonts w:ascii="宋体" w:hAnsi="宋体" w:eastAsia="宋体"/>
          <w:sz w:val="21"/>
        </w:rPr>
        <w:t>养分诊断</w:t>
      </w:r>
      <w:r>
        <w:rPr>
          <w:rFonts w:hint="eastAsia"/>
          <w:sz w:val="21"/>
          <w:lang w:val="en-US" w:eastAsia="zh-CN"/>
        </w:rPr>
        <w:t>公式</w:t>
      </w:r>
      <w:r>
        <w:rPr>
          <w:rFonts w:ascii="宋体" w:hAnsi="宋体" w:eastAsia="宋体"/>
          <w:sz w:val="21"/>
        </w:rPr>
        <w:t>为</w:t>
      </w:r>
      <w:r>
        <w:rPr>
          <w:rFonts w:hint="eastAsia"/>
          <w:sz w:val="21"/>
          <w:lang w:eastAsia="zh-CN"/>
        </w:rPr>
        <w:t>：</w:t>
      </w:r>
      <w:r>
        <w:rPr>
          <w:rFonts w:hint="eastAsia"/>
          <w:sz w:val="21"/>
          <w:lang w:eastAsia="zh-CN"/>
        </w:rPr>
        <w:br w:type="textWrapping"/>
      </w:r>
      <m:oMathPara>
        <m:oMath>
          <m:r>
            <m:rPr/>
            <w:rPr>
              <w:rFonts w:hint="default" w:ascii="Cambria Math" w:hAnsi="Cambria Math" w:cstheme="minorBidi"/>
              <w:sz w:val="21"/>
              <w:szCs w:val="22"/>
              <w:lang w:val="en-US" w:eastAsia="zh-CN" w:bidi="ar-SA"/>
            </w:rPr>
            <m:t>D=</m:t>
          </m:r>
          <m:sSup>
            <m:sSupPr>
              <m:ctrlPr>
                <m:rPr/>
                <w:rPr>
                  <w:rFonts w:hint="default" w:ascii="Cambria Math" w:hAnsi="Cambria Math" w:cstheme="minorBidi"/>
                  <w:i/>
                  <w:sz w:val="21"/>
                  <w:szCs w:val="22"/>
                  <w:lang w:val="en-US" w:eastAsia="zh-CN" w:bidi="ar-SA"/>
                </w:rPr>
              </m:ctrlPr>
            </m:sSupPr>
            <m:e>
              <m:r>
                <m:rPr/>
                <w:rPr>
                  <w:rFonts w:hint="default" w:ascii="Cambria Math" w:hAnsi="Cambria Math" w:cstheme="minorBidi"/>
                  <w:sz w:val="21"/>
                  <w:szCs w:val="22"/>
                  <w:lang w:val="en-US" w:eastAsia="zh-CN" w:bidi="ar-SA"/>
                </w:rPr>
                <m:t>26.107</m:t>
              </m:r>
              <m:ctrlPr>
                <m:rPr/>
                <w:rPr>
                  <w:rFonts w:hint="default" w:ascii="Cambria Math" w:hAnsi="Cambria Math" w:cstheme="minorBidi"/>
                  <w:i/>
                  <w:sz w:val="21"/>
                  <w:szCs w:val="22"/>
                  <w:lang w:val="en-US" w:eastAsia="zh-CN" w:bidi="ar-SA"/>
                </w:rPr>
              </m:ctrlPr>
            </m:e>
            <m:sup>
              <m:r>
                <m:rPr/>
                <w:rPr>
                  <w:rFonts w:hint="default" w:ascii="Cambria Math" w:hAnsi="Cambria Math" w:cstheme="minorBidi"/>
                  <w:sz w:val="21"/>
                  <w:szCs w:val="22"/>
                  <w:lang w:val="en-US" w:eastAsia="zh-CN" w:bidi="ar-SA"/>
                </w:rPr>
                <m:t>(2.6114</m:t>
              </m:r>
              <m:r>
                <m:rPr/>
                <w:rPr>
                  <w:rFonts w:hint="eastAsia"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OSAVI)</m:t>
              </m:r>
              <m:ctrlPr>
                <m:rPr/>
                <w:rPr>
                  <w:rFonts w:hint="default" w:ascii="Cambria Math" w:hAnsi="Cambria Math" w:cstheme="minorBidi"/>
                  <w:i/>
                  <w:sz w:val="21"/>
                  <w:szCs w:val="22"/>
                  <w:lang w:val="en-US" w:eastAsia="zh-CN" w:bidi="ar-SA"/>
                </w:rPr>
              </m:ctrlPr>
            </m:sup>
          </m:sSup>
        </m:oMath>
      </m:oMathPara>
    </w:p>
    <w:p w14:paraId="5E3E4FDA">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步骤3中</w:t>
      </w:r>
      <w:r>
        <w:rPr>
          <w:rFonts w:ascii="宋体" w:hAnsi="宋体" w:eastAsia="宋体"/>
          <w:sz w:val="21"/>
        </w:rPr>
        <w:t>孕穗期采用近红外与红光之比作为植被指数</w:t>
      </w:r>
      <w:r>
        <w:rPr>
          <w:rFonts w:hint="eastAsia"/>
          <w:sz w:val="21"/>
          <w:lang w:val="en-US" w:eastAsia="zh-CN"/>
        </w:rPr>
        <w:t>(RVI)，其公式为：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RVI=</m:t>
          </m:r>
          <m:f>
            <m:fPr>
              <m:ctrlPr>
                <m:rPr/>
                <w:rPr>
                  <w:rFonts w:hint="default" w:ascii="Cambria Math" w:hAnsi="Cambria Math" w:cstheme="minorBidi"/>
                  <w:i/>
                  <w:sz w:val="21"/>
                  <w:szCs w:val="22"/>
                  <w:lang w:val="en-US" w:eastAsia="zh-CN" w:bidi="ar-SA"/>
                </w:rPr>
              </m:ctrlPr>
            </m:fPr>
            <m:num>
              <m:r>
                <m:rPr/>
                <w:rPr>
                  <w:rFonts w:hint="default" w:ascii="Cambria Math" w:hAnsi="Cambria Math" w:cstheme="minorBidi"/>
                  <w:sz w:val="21"/>
                  <w:szCs w:val="22"/>
                  <w:lang w:val="en-US" w:eastAsia="zh-CN" w:bidi="ar-SA"/>
                </w:rPr>
                <m:t>NIR</m:t>
              </m:r>
              <m:ctrlPr>
                <m:rPr/>
                <w:rPr>
                  <w:rFonts w:hint="default" w:ascii="Cambria Math" w:hAnsi="Cambria Math" w:cstheme="minorBidi"/>
                  <w:i/>
                  <w:sz w:val="21"/>
                  <w:szCs w:val="22"/>
                  <w:lang w:val="en-US" w:eastAsia="zh-CN" w:bidi="ar-SA"/>
                </w:rPr>
              </m:ctrlPr>
            </m:num>
            <m:den>
              <m:r>
                <m:rPr/>
                <w:rPr>
                  <w:rFonts w:hint="default" w:ascii="Cambria Math" w:hAnsi="Cambria Math" w:cstheme="minorBidi"/>
                  <w:sz w:val="21"/>
                  <w:szCs w:val="22"/>
                  <w:lang w:val="en-US" w:eastAsia="zh-CN" w:bidi="ar-SA"/>
                </w:rPr>
                <m:t>Red</m:t>
              </m:r>
              <m:ctrlPr>
                <m:rPr/>
                <w:rPr>
                  <w:rFonts w:hint="default" w:ascii="Cambria Math" w:hAnsi="Cambria Math" w:cstheme="minorBidi"/>
                  <w:i/>
                  <w:sz w:val="21"/>
                  <w:szCs w:val="22"/>
                  <w:lang w:val="en-US" w:eastAsia="zh-CN" w:bidi="ar-SA"/>
                </w:rPr>
              </m:ctrlPr>
            </m:den>
          </m:f>
        </m:oMath>
      </m:oMathPara>
      <w:r>
        <w:rPr>
          <w:rFonts w:hint="eastAsia"/>
          <w:sz w:val="21"/>
          <w:lang w:val="en-US" w:eastAsia="zh-CN"/>
        </w:rPr>
        <w:br w:type="textWrapping"/>
      </w:r>
      <w:r>
        <w:rPr>
          <w:rFonts w:ascii="宋体" w:hAnsi="宋体" w:eastAsia="宋体"/>
          <w:sz w:val="21"/>
        </w:rPr>
        <w:t>并由所述植被指数的线性函数计算叶面积指数</w:t>
      </w:r>
      <w:r>
        <w:rPr>
          <w:rFonts w:hint="eastAsia"/>
          <w:sz w:val="21"/>
          <w:lang w:val="en-US" w:eastAsia="zh-CN"/>
        </w:rPr>
        <w:t>作为养分诊断依据，其公式为：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D=0.7375</m:t>
          </m:r>
          <m:r>
            <m:rPr/>
            <w:rPr>
              <w:rFonts w:hint="eastAsia"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RVI+9.6073</m:t>
          </m:r>
        </m:oMath>
      </m:oMathPara>
    </w:p>
    <w:p w14:paraId="4F5F54C4">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步骤3中</w:t>
      </w:r>
      <w:r>
        <w:rPr>
          <w:rFonts w:ascii="宋体" w:hAnsi="宋体" w:eastAsia="宋体"/>
          <w:sz w:val="21"/>
        </w:rPr>
        <w:t>抽穗期采用近红外与红光之差除以近红外与红光之和作为植被指数</w:t>
      </w:r>
      <w:r>
        <w:rPr>
          <w:rFonts w:hint="eastAsia"/>
          <w:sz w:val="21"/>
          <w:lang w:val="en-US" w:eastAsia="zh-CN"/>
        </w:rPr>
        <w:t>(NDVI),其公式为：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NDVI=</m:t>
          </m:r>
          <m:f>
            <m:fPr>
              <m:ctrlPr>
                <m:rPr/>
                <w:rPr>
                  <w:rFonts w:hint="default" w:ascii="Cambria Math" w:hAnsi="Cambria Math" w:cstheme="minorBidi"/>
                  <w:i/>
                  <w:sz w:val="21"/>
                  <w:szCs w:val="22"/>
                  <w:lang w:val="en-US" w:eastAsia="zh-CN" w:bidi="ar-SA"/>
                </w:rPr>
              </m:ctrlPr>
            </m:fPr>
            <m:num>
              <m:r>
                <m:rPr/>
                <w:rPr>
                  <w:rFonts w:hint="default"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NIR−Red</m:t>
              </m:r>
              <m:r>
                <m:rPr/>
                <w:rPr>
                  <w:rFonts w:hint="default" w:ascii="Cambria Math" w:hAnsi="Cambria Math" w:cstheme="minorBidi"/>
                  <w:sz w:val="21"/>
                  <w:szCs w:val="22"/>
                  <w:lang w:val="en-US" w:eastAsia="zh-CN" w:bidi="ar-SA"/>
                </w:rPr>
                <m:t>)</m:t>
              </m:r>
              <m:ctrlPr>
                <m:rPr/>
                <w:rPr>
                  <w:rFonts w:hint="default" w:ascii="Cambria Math" w:hAnsi="Cambria Math" w:cstheme="minorBidi"/>
                  <w:i/>
                  <w:sz w:val="21"/>
                  <w:szCs w:val="22"/>
                  <w:lang w:val="en-US" w:eastAsia="zh-CN" w:bidi="ar-SA"/>
                </w:rPr>
              </m:ctrlPr>
            </m:num>
            <m:den>
              <m:r>
                <m:rPr/>
                <w:rPr>
                  <w:rFonts w:hint="default"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NIR+Red</m:t>
              </m:r>
              <m:r>
                <m:rPr/>
                <w:rPr>
                  <w:rFonts w:hint="default" w:ascii="Cambria Math" w:hAnsi="Cambria Math" w:cstheme="minorBidi"/>
                  <w:sz w:val="21"/>
                  <w:szCs w:val="22"/>
                  <w:lang w:val="en-US" w:eastAsia="zh-CN" w:bidi="ar-SA"/>
                </w:rPr>
                <m:t>)</m:t>
              </m:r>
              <m:ctrlPr>
                <m:rPr/>
                <w:rPr>
                  <w:rFonts w:hint="default" w:ascii="Cambria Math" w:hAnsi="Cambria Math" w:cstheme="minorBidi"/>
                  <w:i/>
                  <w:sz w:val="21"/>
                  <w:szCs w:val="22"/>
                  <w:lang w:val="en-US" w:eastAsia="zh-CN" w:bidi="ar-SA"/>
                </w:rPr>
              </m:ctrlPr>
            </m:den>
          </m:f>
        </m:oMath>
      </m:oMathPara>
      <w:r>
        <w:rPr>
          <w:rFonts w:hint="eastAsia"/>
          <w:sz w:val="21"/>
          <w:lang w:val="en-US" w:eastAsia="zh-CN"/>
        </w:rPr>
        <w:br w:type="textWrapping"/>
      </w:r>
      <w:r>
        <w:rPr>
          <w:rFonts w:ascii="宋体" w:hAnsi="宋体" w:eastAsia="宋体"/>
          <w:sz w:val="21"/>
        </w:rPr>
        <w:t>并由所述植被指数的指数函数计算叶面积指数</w:t>
      </w:r>
      <w:r>
        <w:rPr>
          <w:rFonts w:hint="eastAsia"/>
          <w:sz w:val="21"/>
          <w:lang w:val="en-US" w:eastAsia="zh-CN"/>
        </w:rPr>
        <w:t>作为养分诊断依据，其公式为：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D=2.8339</m:t>
          </m:r>
          <m:r>
            <m:rPr/>
            <w:rPr>
              <w:rFonts w:hint="eastAsia"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exp(1.3655</m:t>
          </m:r>
          <m:r>
            <m:rPr/>
            <w:rPr>
              <w:rFonts w:hint="eastAsia"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NDVI)</m:t>
          </m:r>
        </m:oMath>
      </m:oMathPara>
    </w:p>
    <w:p w14:paraId="648947E5">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步骤3中</w:t>
      </w:r>
      <w:r>
        <w:rPr>
          <w:rFonts w:ascii="宋体" w:hAnsi="宋体" w:eastAsia="宋体"/>
          <w:sz w:val="21"/>
        </w:rPr>
        <w:t>扬花期采用绿光与红光之差除以绿光与红光之和作为植被指数</w:t>
      </w:r>
      <w:r>
        <w:rPr>
          <w:rFonts w:hint="eastAsia"/>
          <w:sz w:val="21"/>
          <w:lang w:val="en-US" w:eastAsia="zh-CN"/>
        </w:rPr>
        <w:t>(NRI)</w:t>
      </w:r>
      <w:r>
        <w:rPr>
          <w:rFonts w:ascii="宋体" w:hAnsi="宋体" w:eastAsia="宋体"/>
          <w:sz w:val="21"/>
        </w:rPr>
        <w:t>，</w:t>
      </w:r>
      <w:r>
        <w:rPr>
          <w:rFonts w:hint="eastAsia"/>
          <w:sz w:val="21"/>
          <w:lang w:val="en-US" w:eastAsia="zh-CN"/>
        </w:rPr>
        <w:t>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NRI=</m:t>
          </m:r>
          <m:f>
            <m:fPr>
              <m:ctrlPr>
                <m:rPr/>
                <w:rPr>
                  <w:rFonts w:hint="default" w:ascii="Cambria Math" w:hAnsi="Cambria Math" w:cstheme="minorBidi"/>
                  <w:i/>
                  <w:sz w:val="21"/>
                  <w:szCs w:val="22"/>
                  <w:lang w:val="en-US" w:eastAsia="zh-CN" w:bidi="ar-SA"/>
                </w:rPr>
              </m:ctrlPr>
            </m:fPr>
            <m:num>
              <m:r>
                <m:rPr/>
                <w:rPr>
                  <w:rFonts w:hint="default" w:ascii="Cambria Math" w:hAnsi="Cambria Math" w:cstheme="minorBidi"/>
                  <w:sz w:val="21"/>
                  <w:szCs w:val="22"/>
                  <w:lang w:val="en-US" w:eastAsia="zh-CN" w:bidi="ar-SA"/>
                </w:rPr>
                <m:t>(Green−Red)</m:t>
              </m:r>
              <m:ctrlPr>
                <m:rPr/>
                <w:rPr>
                  <w:rFonts w:hint="default" w:ascii="Cambria Math" w:hAnsi="Cambria Math" w:cstheme="minorBidi"/>
                  <w:i/>
                  <w:sz w:val="21"/>
                  <w:szCs w:val="22"/>
                  <w:lang w:val="en-US" w:eastAsia="zh-CN" w:bidi="ar-SA"/>
                </w:rPr>
              </m:ctrlPr>
            </m:num>
            <m:den>
              <m:r>
                <m:rPr/>
                <w:rPr>
                  <w:rFonts w:hint="default" w:ascii="Cambria Math" w:hAnsi="Cambria Math" w:cstheme="minorBidi"/>
                  <w:sz w:val="21"/>
                  <w:szCs w:val="22"/>
                  <w:lang w:val="en-US" w:eastAsia="zh-CN" w:bidi="ar-SA"/>
                </w:rPr>
                <m:t>(Green+Red)</m:t>
              </m:r>
              <m:ctrlPr>
                <m:rPr/>
                <w:rPr>
                  <w:rFonts w:hint="default" w:ascii="Cambria Math" w:hAnsi="Cambria Math" w:cstheme="minorBidi"/>
                  <w:i/>
                  <w:sz w:val="21"/>
                  <w:szCs w:val="22"/>
                  <w:lang w:val="en-US" w:eastAsia="zh-CN" w:bidi="ar-SA"/>
                </w:rPr>
              </m:ctrlPr>
            </m:den>
          </m:f>
        </m:oMath>
      </m:oMathPara>
      <w:r>
        <w:rPr>
          <w:rFonts w:hint="eastAsia"/>
          <w:sz w:val="21"/>
          <w:lang w:val="en-US" w:eastAsia="zh-CN"/>
        </w:rPr>
        <w:br w:type="textWrapping"/>
      </w:r>
      <w:r>
        <w:rPr>
          <w:rFonts w:ascii="宋体" w:hAnsi="宋体" w:eastAsia="宋体"/>
          <w:sz w:val="21"/>
        </w:rPr>
        <w:t>并由所述植被指数的线性函数计算叶面积指数</w:t>
      </w:r>
      <w:r>
        <w:rPr>
          <w:rFonts w:hint="eastAsia"/>
          <w:sz w:val="21"/>
          <w:lang w:val="en-US" w:eastAsia="zh-CN"/>
        </w:rPr>
        <w:t>作为养分诊断依据，其公式为：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D=−7.354</m:t>
          </m:r>
          <m:r>
            <m:rPr/>
            <w:rPr>
              <w:rFonts w:hint="eastAsia"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NRI+7.9181</m:t>
          </m:r>
        </m:oMath>
      </m:oMathPara>
    </w:p>
    <w:p w14:paraId="2D489FBA">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步骤3中</w:t>
      </w:r>
      <w:r>
        <w:rPr>
          <w:rFonts w:ascii="宋体" w:hAnsi="宋体" w:eastAsia="宋体"/>
          <w:sz w:val="21"/>
        </w:rPr>
        <w:t>成熟期前采用近红外与红光之差作为植被指数</w:t>
      </w:r>
      <w:r>
        <w:rPr>
          <w:rFonts w:hint="eastAsia"/>
          <w:sz w:val="21"/>
          <w:lang w:val="en-US" w:eastAsia="zh-CN"/>
        </w:rPr>
        <w:t>(DVI)</w:t>
      </w:r>
      <w:r>
        <w:rPr>
          <w:rFonts w:ascii="宋体" w:hAnsi="宋体" w:eastAsia="宋体"/>
          <w:sz w:val="21"/>
        </w:rPr>
        <w:t>，</w:t>
      </w:r>
      <w:r>
        <w:rPr>
          <w:rFonts w:hint="eastAsia"/>
          <w:sz w:val="21"/>
          <w:lang w:val="en-US" w:eastAsia="zh-CN"/>
        </w:rPr>
        <w:t>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DVI=NIR−Red</m:t>
          </m:r>
        </m:oMath>
      </m:oMathPara>
      <w:r>
        <w:rPr>
          <w:rFonts w:hint="eastAsia"/>
          <w:sz w:val="21"/>
          <w:lang w:val="en-US" w:eastAsia="zh-CN"/>
        </w:rPr>
        <w:br w:type="textWrapping"/>
      </w:r>
      <w:r>
        <w:rPr>
          <w:rFonts w:ascii="宋体" w:hAnsi="宋体" w:eastAsia="宋体"/>
          <w:sz w:val="21"/>
        </w:rPr>
        <w:t>并由所述植被指数的线性函数计算理论产量诊断值</w:t>
      </w:r>
      <w:r>
        <w:rPr>
          <w:rFonts w:hint="eastAsia"/>
          <w:sz w:val="21"/>
          <w:lang w:eastAsia="zh-CN"/>
        </w:rPr>
        <w:t>，</w:t>
      </w:r>
      <w:r>
        <w:rPr>
          <w:rFonts w:hint="eastAsia"/>
          <w:sz w:val="21"/>
          <w:lang w:val="en-US" w:eastAsia="zh-CN"/>
        </w:rPr>
        <w:t>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D=0.3878</m:t>
          </m:r>
          <m:r>
            <m:rPr/>
            <w:rPr>
              <w:rFonts w:hint="eastAsia"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DVI−195.83</m:t>
          </m:r>
        </m:oMath>
      </m:oMathPara>
    </w:p>
    <w:p w14:paraId="2180C47B">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步骤3中</w:t>
      </w:r>
      <w:r>
        <w:rPr>
          <w:rFonts w:ascii="宋体" w:hAnsi="宋体" w:eastAsia="宋体"/>
          <w:sz w:val="21"/>
        </w:rPr>
        <w:t>成熟期采用近红外与红光之比作为植被指数</w:t>
      </w:r>
      <w:r>
        <w:rPr>
          <w:rFonts w:hint="eastAsia"/>
          <w:sz w:val="21"/>
          <w:lang w:val="en-US" w:eastAsia="zh-CN"/>
        </w:rPr>
        <w:t>(RVI)</w:t>
      </w:r>
      <w:r>
        <w:rPr>
          <w:rFonts w:ascii="宋体" w:hAnsi="宋体" w:eastAsia="宋体"/>
          <w:sz w:val="21"/>
        </w:rPr>
        <w:t>，并由所述植被指数的二次多项式计算实际产量诊断值</w:t>
      </w:r>
      <w:r>
        <w:rPr>
          <w:rFonts w:hint="eastAsia"/>
          <w:sz w:val="21"/>
          <w:lang w:val="en-US" w:eastAsia="zh-CN"/>
        </w:rPr>
        <w:t>,其公式为：</w:t>
      </w:r>
      <w:r>
        <w:rPr>
          <w:rFonts w:hint="eastAsia"/>
          <w:sz w:val="21"/>
          <w:lang w:val="en-US" w:eastAsia="zh-CN"/>
        </w:rPr>
        <w:br w:type="textWrapping"/>
      </w:r>
      <m:oMathPara>
        <m:oMath>
          <m:r>
            <m:rPr/>
            <w:rPr>
              <w:rFonts w:hint="default" w:ascii="Cambria Math" w:hAnsi="Cambria Math" w:cstheme="minorBidi"/>
              <w:sz w:val="21"/>
              <w:szCs w:val="22"/>
              <w:lang w:val="en-US" w:eastAsia="zh-CN" w:bidi="ar-SA"/>
            </w:rPr>
            <m:t>D=−48.304</m:t>
          </m:r>
          <m:r>
            <m:rPr/>
            <w:rPr>
              <w:rFonts w:hint="eastAsia" w:ascii="Cambria Math" w:hAnsi="Cambria Math" w:cstheme="minorBidi"/>
              <w:sz w:val="21"/>
              <w:szCs w:val="22"/>
              <w:lang w:val="en-US" w:eastAsia="zh-CN" w:bidi="ar-SA"/>
            </w:rPr>
            <m:t>×</m:t>
          </m:r>
          <m:sSup>
            <m:sSupPr>
              <m:ctrlPr>
                <m:rPr/>
                <w:rPr>
                  <w:rFonts w:hint="eastAsia" w:ascii="Cambria Math" w:hAnsi="Cambria Math" w:cstheme="minorBidi"/>
                  <w:i/>
                  <w:sz w:val="21"/>
                  <w:szCs w:val="22"/>
                  <w:lang w:val="en-US" w:eastAsia="zh-CN" w:bidi="ar-SA"/>
                </w:rPr>
              </m:ctrlPr>
            </m:sSupPr>
            <m:e>
              <m:r>
                <m:rPr/>
                <w:rPr>
                  <w:rFonts w:hint="default" w:ascii="Cambria Math" w:hAnsi="Cambria Math" w:cstheme="minorBidi"/>
                  <w:sz w:val="21"/>
                  <w:szCs w:val="22"/>
                  <w:lang w:val="en-US" w:eastAsia="zh-CN" w:bidi="ar-SA"/>
                </w:rPr>
                <m:t>RVI</m:t>
              </m:r>
              <m:ctrlPr>
                <m:rPr/>
                <w:rPr>
                  <w:rFonts w:hint="eastAsia" w:ascii="Cambria Math" w:hAnsi="Cambria Math" w:cstheme="minorBidi"/>
                  <w:i/>
                  <w:sz w:val="21"/>
                  <w:szCs w:val="22"/>
                  <w:lang w:val="en-US" w:eastAsia="zh-CN" w:bidi="ar-SA"/>
                </w:rPr>
              </m:ctrlPr>
            </m:e>
            <m:sup>
              <m:r>
                <m:rPr/>
                <w:rPr>
                  <w:rFonts w:hint="default" w:ascii="Cambria Math" w:hAnsi="Cambria Math" w:cstheme="minorBidi"/>
                  <w:sz w:val="21"/>
                  <w:szCs w:val="22"/>
                  <w:lang w:val="en-US" w:eastAsia="zh-CN" w:bidi="ar-SA"/>
                </w:rPr>
                <m:t>2</m:t>
              </m:r>
              <m:ctrlPr>
                <m:rPr/>
                <w:rPr>
                  <w:rFonts w:hint="eastAsia" w:ascii="Cambria Math" w:hAnsi="Cambria Math" w:cstheme="minorBidi"/>
                  <w:i/>
                  <w:sz w:val="21"/>
                  <w:szCs w:val="22"/>
                  <w:lang w:val="en-US" w:eastAsia="zh-CN" w:bidi="ar-SA"/>
                </w:rPr>
              </m:ctrlPr>
            </m:sup>
          </m:sSup>
          <m:r>
            <m:rPr/>
            <w:rPr>
              <w:rFonts w:hint="default" w:ascii="Cambria Math" w:hAnsi="Cambria Math" w:cstheme="minorBidi"/>
              <w:sz w:val="21"/>
              <w:szCs w:val="22"/>
              <w:lang w:val="en-US" w:eastAsia="zh-CN" w:bidi="ar-SA"/>
            </w:rPr>
            <m:t>+518.11</m:t>
          </m:r>
          <m:r>
            <m:rPr/>
            <w:rPr>
              <w:rFonts w:hint="eastAsia" w:ascii="Cambria Math" w:hAnsi="Cambria Math" w:cstheme="minorBidi"/>
              <w:sz w:val="21"/>
              <w:szCs w:val="22"/>
              <w:lang w:val="en-US" w:eastAsia="zh-CN" w:bidi="ar-SA"/>
            </w:rPr>
            <m:t>×</m:t>
          </m:r>
          <m:r>
            <m:rPr/>
            <w:rPr>
              <w:rFonts w:hint="default" w:ascii="Cambria Math" w:hAnsi="Cambria Math" w:cstheme="minorBidi"/>
              <w:sz w:val="21"/>
              <w:szCs w:val="22"/>
              <w:lang w:val="en-US" w:eastAsia="zh-CN" w:bidi="ar-SA"/>
            </w:rPr>
            <m:t>RVI−528.44</m:t>
          </m:r>
        </m:oMath>
      </m:oMathPara>
    </w:p>
    <w:p w14:paraId="4D2E5CDD">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步骤4中</w:t>
      </w:r>
      <w:r>
        <w:rPr>
          <w:rFonts w:ascii="宋体" w:hAnsi="宋体" w:eastAsia="宋体"/>
          <w:sz w:val="21"/>
        </w:rPr>
        <w:t>幼苗期至扬花期采用0.1、0.3、0.7、0.9和1.0分位点形成五个养分等级，成熟期前和成熟期采用0.25、0.6、0.9和1.0分位点形成四个养分等级；第一个养分等级覆盖不大于第一分位阈值的有效养分诊断值，中间养分等级采用前一分位阈值开区间和当前分位阈值闭区间，最后一个养分等级覆盖前一分位阈值以上的有效养分诊断值。</w:t>
      </w:r>
    </w:p>
    <w:p w14:paraId="200EBFDE">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步骤4中</w:t>
      </w:r>
      <w:r>
        <w:rPr>
          <w:rFonts w:ascii="宋体" w:hAnsi="宋体" w:eastAsia="宋体"/>
          <w:sz w:val="21"/>
        </w:rPr>
        <w:t>当有效养分诊断值数量超过预设样本容量时，以固定随机种子进行蓄水池抽样；遍历至第n个有效养分诊断值时，以样本容量与n之比确定该有效养分诊断值的保留概率，使各已遍历有效养分诊断值具有相同的样本保留概率，并由抽样结果计算所述分位阈值。</w:t>
      </w:r>
    </w:p>
    <w:p w14:paraId="2B80484D">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步骤5中</w:t>
      </w:r>
      <w:r>
        <w:rPr>
          <w:rFonts w:ascii="宋体" w:hAnsi="宋体" w:eastAsia="宋体"/>
          <w:sz w:val="21"/>
        </w:rPr>
        <w:t>第i个养分诊断等级对应的单位面积施肥量等于基准施肥量</w:t>
      </w:r>
      <w:r>
        <w:rPr>
          <w:rFonts w:hint="eastAsia"/>
          <w:sz w:val="21"/>
          <w:lang w:val="en-US" w:eastAsia="zh-CN"/>
        </w:rPr>
        <w:t>(</w:t>
      </w:r>
      <m:oMath>
        <m:sSub>
          <m:sSubPr>
            <m:ctrlPr>
              <w:rPr>
                <w:rFonts w:ascii="Cambria Math" w:hAnsi="Cambria Math"/>
                <w:i/>
                <w:sz w:val="21"/>
                <w:lang w:val="en-US"/>
              </w:rPr>
            </m:ctrlPr>
          </m:sSubPr>
          <m:e>
            <m:r>
              <m:rPr/>
              <w:rPr>
                <w:rFonts w:hint="default" w:ascii="Cambria Math" w:hAnsi="Cambria Math"/>
                <w:sz w:val="21"/>
                <w:lang w:val="en-US" w:eastAsia="zh-CN"/>
              </w:rPr>
              <m:t>Q</m:t>
            </m:r>
            <m:ctrlPr>
              <w:rPr>
                <w:rFonts w:ascii="Cambria Math" w:hAnsi="Cambria Math"/>
                <w:i/>
                <w:sz w:val="21"/>
                <w:lang w:val="en-US"/>
              </w:rPr>
            </m:ctrlPr>
          </m:e>
          <m:sub>
            <m:r>
              <m:rPr/>
              <w:rPr>
                <w:rFonts w:hint="default" w:ascii="Cambria Math" w:hAnsi="Cambria Math"/>
                <w:sz w:val="21"/>
                <w:lang w:val="en-US" w:eastAsia="zh-CN"/>
              </w:rPr>
              <m:t>b</m:t>
            </m:r>
            <m:ctrlPr>
              <w:rPr>
                <w:rFonts w:ascii="Cambria Math" w:hAnsi="Cambria Math"/>
                <w:i/>
                <w:sz w:val="21"/>
                <w:lang w:val="en-US"/>
              </w:rPr>
            </m:ctrlPr>
          </m:sub>
        </m:sSub>
      </m:oMath>
      <w:r>
        <w:rPr>
          <w:rFonts w:hint="eastAsia"/>
          <w:sz w:val="21"/>
          <w:lang w:val="en-US" w:eastAsia="zh-CN"/>
        </w:rPr>
        <w:t>)</w:t>
      </w:r>
      <w:r>
        <w:rPr>
          <w:rFonts w:ascii="宋体" w:hAnsi="宋体" w:eastAsia="宋体"/>
          <w:sz w:val="21"/>
        </w:rPr>
        <w:t>与调整因子</w:t>
      </w:r>
      <m:oMath>
        <m:r>
          <m:rPr/>
          <w:rPr>
            <w:rFonts w:hint="default" w:ascii="Cambria Math" w:hAnsi="Cambria Math" w:cstheme="minorBidi"/>
            <w:sz w:val="21"/>
            <w:szCs w:val="22"/>
            <w:lang w:val="en-US" w:eastAsia="zh-CN" w:bidi="ar-SA"/>
          </w:rPr>
          <m:t>k</m:t>
        </m:r>
      </m:oMath>
      <w:r>
        <w:rPr>
          <w:rFonts w:ascii="宋体" w:hAnsi="宋体" w:eastAsia="宋体"/>
          <w:sz w:val="21"/>
        </w:rPr>
        <w:t>的乘积，所述调整因子</w:t>
      </w:r>
      <m:oMath>
        <m:r>
          <m:rPr/>
          <w:rPr>
            <w:rFonts w:hint="default" w:ascii="Cambria Math" w:hAnsi="Cambria Math" w:cstheme="minorBidi"/>
            <w:sz w:val="21"/>
            <w:szCs w:val="22"/>
            <w:lang w:val="en-US" w:eastAsia="zh-CN" w:bidi="ar-SA"/>
          </w:rPr>
          <m:t>k</m:t>
        </m:r>
      </m:oMath>
      <w:r>
        <w:rPr>
          <w:rFonts w:ascii="宋体" w:hAnsi="宋体" w:eastAsia="宋体"/>
          <w:sz w:val="21"/>
        </w:rPr>
        <w:t>加上基准等级</w:t>
      </w:r>
      <m:oMath>
        <m:r>
          <m:rPr/>
          <w:rPr>
            <w:rFonts w:hint="default" w:ascii="Cambria Math" w:hAnsi="Cambria Math" w:cstheme="minorBidi"/>
            <w:sz w:val="21"/>
            <w:szCs w:val="22"/>
            <w:lang w:val="en-US" w:eastAsia="zh-CN" w:bidi="ar-SA"/>
          </w:rPr>
          <m:t>b</m:t>
        </m:r>
      </m:oMath>
      <w:r>
        <w:rPr>
          <w:rFonts w:ascii="宋体" w:hAnsi="宋体" w:eastAsia="宋体"/>
          <w:sz w:val="21"/>
        </w:rPr>
        <w:t>与第</w:t>
      </w:r>
      <m:oMath>
        <m:r>
          <m:rPr/>
          <w:rPr>
            <w:rFonts w:hint="default" w:ascii="Cambria Math"/>
            <w:sz w:val="21"/>
            <w:lang w:val="en-US" w:eastAsia="zh-CN"/>
          </w:rPr>
          <m:t>i</m:t>
        </m:r>
      </m:oMath>
      <w:r>
        <w:rPr>
          <w:rFonts w:ascii="宋体" w:hAnsi="宋体" w:eastAsia="宋体"/>
          <w:sz w:val="21"/>
        </w:rPr>
        <w:t>个养分诊断等级之差和等级变化系数的乘积</w:t>
      </w:r>
      <w:r>
        <w:rPr>
          <w:rFonts w:hint="eastAsia"/>
          <w:sz w:val="21"/>
          <w:lang w:val="en-US" w:eastAsia="zh-CN"/>
        </w:rPr>
        <w:t>,其公式为：</w:t>
      </w:r>
      <w:r>
        <w:rPr>
          <w:rFonts w:hint="eastAsia"/>
          <w:sz w:val="21"/>
          <w:lang w:val="en-US" w:eastAsia="zh-CN"/>
        </w:rPr>
        <w:br w:type="textWrapping"/>
      </w:r>
      <m:oMathPara>
        <m:oMath>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b</m:t>
              </m:r>
              <m:ctrlPr>
                <w:rPr>
                  <w:rFonts w:ascii="Cambria Math" w:hAnsi="Cambria Math" w:eastAsia="Consolas"/>
                </w:rPr>
              </m:ctrlPr>
            </m:sub>
          </m:sSub>
          <m:d>
            <m:dPr>
              <m:begChr m:val="["/>
              <m:endChr m:val="]"/>
              <m:ctrlPr>
                <w:rPr>
                  <w:rFonts w:hint="default" w:ascii="Cambria Math" w:hAnsi="Cambria Math" w:eastAsia="Consolas"/>
                </w:rPr>
              </m:ctrlPr>
            </m:dPr>
            <m:e>
              <m:r>
                <m:rPr/>
                <w:rPr>
                  <w:rFonts w:hint="default" w:ascii="Cambria Math" w:hAnsi="Cambria Math" w:eastAsia="Consolas"/>
                </w:rPr>
                <m:t>1+(b−i)k</m:t>
              </m:r>
              <m:ctrlPr>
                <w:rPr>
                  <w:rFonts w:ascii="Cambria Math" w:hAnsi="Cambria Math" w:eastAsia="Consolas"/>
                </w:rPr>
              </m:ctrlPr>
            </m:e>
          </m:d>
        </m:oMath>
      </m:oMathPara>
      <w:r>
        <w:rPr>
          <w:rFonts w:hint="eastAsia"/>
          <w:sz w:val="21"/>
          <w:lang w:val="en-US" w:eastAsia="zh-CN"/>
        </w:rPr>
        <w:br w:type="textWrapping"/>
      </w:r>
      <w:r>
        <w:rPr>
          <w:rFonts w:ascii="宋体" w:hAnsi="宋体" w:eastAsia="宋体"/>
          <w:sz w:val="21"/>
        </w:rPr>
        <w:t>当诊断范围包括多个互不重叠的管理区时，各管理区分别计算分位阈值和单位面积施肥量，并按照管理区指示函数合并像元级施肥量。</w:t>
      </w:r>
    </w:p>
    <w:p w14:paraId="31E7BCEB">
      <w:pPr>
        <w:pStyle w:val="14"/>
        <w:numPr>
          <w:ilvl w:val="0"/>
          <w:numId w:val="8"/>
        </w:numPr>
        <w:spacing w:after="60"/>
      </w:pPr>
      <w:r>
        <w:rPr>
          <w:rFonts w:ascii="宋体" w:hAnsi="宋体" w:eastAsia="宋体"/>
          <w:sz w:val="21"/>
        </w:rPr>
        <w:t>根据权利要求1所述的方法，其特征在于，</w:t>
      </w:r>
      <w:r>
        <w:rPr>
          <w:rFonts w:hint="eastAsia"/>
          <w:sz w:val="21"/>
          <w:lang w:val="en-US" w:eastAsia="zh-CN"/>
        </w:rPr>
        <w:t>步骤5中</w:t>
      </w:r>
      <w:r>
        <w:rPr>
          <w:rFonts w:ascii="宋体" w:hAnsi="宋体" w:eastAsia="宋体"/>
          <w:sz w:val="21"/>
        </w:rPr>
        <w:t>目标处</w:t>
      </w:r>
      <w:bookmarkStart w:id="0" w:name="_GoBack"/>
      <w:bookmarkEnd w:id="0"/>
      <w:r>
        <w:rPr>
          <w:rFonts w:ascii="宋体" w:hAnsi="宋体" w:eastAsia="宋体"/>
          <w:sz w:val="21"/>
        </w:rPr>
        <w:t>方格在源坐标系中的横向尺寸等于目标处方格的地面边长除以源坐标系横向一个坐标单位对应的地面米数，纵向尺寸等于所述地面边长除以源坐标系纵向一个坐标单位对应的地面米数；目标处方格的施肥量为该目标处方格覆盖的各有效源像元施肥量按照重叠面积计算的加权平均值，无效源像元不参与所述加权平均值的计算。</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D39D2"/>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unhideWhenUsed/>
    <w:qFormat/>
    <w:uiPriority w:val="99"/>
    <w:pPr>
      <w:spacing w:before="100" w:beforeAutospacing="1" w:after="100" w:afterAutospacing="1"/>
      <w:jc w:val="left"/>
    </w:pPr>
    <w:rPr>
      <w:kern w:val="0"/>
      <w:sz w:val="24"/>
      <w:szCs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1476</Words>
  <Characters>1514</Characters>
  <Lines>0</Lines>
  <Paragraphs>0</Paragraphs>
  <TotalTime>0</TotalTime>
  <ScaleCrop>false</ScaleCrop>
  <LinksUpToDate>false</LinksUpToDate>
  <CharactersWithSpaces>1514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郝锦涛</cp:lastModifiedBy>
  <dcterms:modified xsi:type="dcterms:W3CDTF">2026-09-20T09:39:37Z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eyJoZGlkIjoiZDYyMDg4ZmI3ZmY2N2M2ZTQ5YzRhMGFhOGQ3YjdlOTciLCJ1c2VySWQiOiIxODY1MDA5MDc1In0=</vt:lpwstr>
  </property>
  <property fmtid="{D5CDD505-2E9C-101B-9397-08002B2CF9AE}" pid="3" name="KSOProductBuildVer">
    <vt:lpwstr>2052-12.1.0.28505</vt:lpwstr>
  </property>
  <property fmtid="{D5CDD505-2E9C-101B-9397-08002B2CF9AE}" pid="4" name="ICV">
    <vt:lpwstr>B6BCE26E98BC490A9031DC476573F165_12</vt:lpwstr>
  </property>
</Properties>
</file>