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8A3F7">
      <w:pPr>
        <w:pStyle w:val="31"/>
        <w:widowControl/>
        <w:spacing w:line="440" w:lineRule="atLeast"/>
        <w:jc w:val="center"/>
        <w:rPr>
          <w:rFonts w:hint="default" w:ascii="Times New Roman" w:hAnsi="Times New Roman" w:eastAsia="仿宋" w:cs="Times New Roman"/>
          <w:b/>
          <w:bCs/>
          <w:sz w:val="32"/>
          <w:szCs w:val="32"/>
          <w:lang w:eastAsia="zh-CN"/>
        </w:rPr>
      </w:pPr>
      <w:r>
        <w:rPr>
          <w:rFonts w:hint="default" w:ascii="Times New Roman" w:hAnsi="Times New Roman" w:eastAsia="仿宋" w:cs="Times New Roman"/>
          <w:b/>
          <w:bCs/>
          <w:sz w:val="32"/>
          <w:szCs w:val="32"/>
          <w:lang w:eastAsia="zh-CN"/>
        </w:rPr>
        <w:t>说明书</w:t>
      </w:r>
    </w:p>
    <w:p w14:paraId="107F7A90">
      <w:pPr>
        <w:pStyle w:val="31"/>
        <w:widowControl/>
        <w:spacing w:line="440" w:lineRule="atLeast"/>
        <w:rPr>
          <w:rFonts w:hint="default" w:ascii="Times New Roman" w:hAnsi="Times New Roman" w:eastAsia="仿宋" w:cs="Times New Roman"/>
          <w:b w:val="0"/>
          <w:bCs/>
          <w:lang w:eastAsia="zh-CN"/>
        </w:rPr>
      </w:pPr>
      <w:r>
        <w:rPr>
          <w:rFonts w:hint="default" w:ascii="Times New Roman" w:hAnsi="Times New Roman" w:eastAsia="仿宋" w:cs="Times New Roman"/>
          <w:b w:val="0"/>
          <w:bCs/>
          <w:lang w:eastAsia="zh-CN"/>
        </w:rPr>
        <w:t>一种水稻养分遥感诊断无人机精准施肥的方法</w:t>
      </w:r>
    </w:p>
    <w:p w14:paraId="7AFE1FF3">
      <w:pPr>
        <w:pStyle w:val="31"/>
        <w:bidi w:val="0"/>
        <w:rPr>
          <w:rFonts w:hint="default"/>
          <w:lang w:eastAsia="zh-CN"/>
        </w:rPr>
      </w:pPr>
      <w:r>
        <w:rPr>
          <w:rFonts w:hint="default"/>
          <w:lang w:eastAsia="zh-CN"/>
        </w:rPr>
        <w:t>技术领域</w:t>
      </w:r>
    </w:p>
    <w:p w14:paraId="7E22880D">
      <w:pPr>
        <w:spacing w:after="120" w:line="276" w:lineRule="auto"/>
      </w:pPr>
      <w:r>
        <w:rPr>
          <w:rFonts w:ascii="宋体" w:hAnsi="宋体" w:eastAsia="宋体"/>
          <w:sz w:val="21"/>
        </w:rPr>
        <w:t>本发明涉及精准农业、农业遥感和无人机变量施肥技术领域，具体涉及一种根据水稻生育期选择多光谱诊断公式、利用诊断值分位数形成养分等级、将养分等级转换为施肥量并按真实地面尺度生成无人机施肥处方图的方法。</w:t>
      </w:r>
    </w:p>
    <w:p w14:paraId="652E84A7">
      <w:pPr>
        <w:pStyle w:val="31"/>
        <w:widowControl/>
        <w:spacing w:line="440" w:lineRule="atLeast"/>
        <w:rPr>
          <w:rFonts w:hint="default" w:ascii="Times New Roman" w:hAnsi="Times New Roman" w:eastAsia="仿宋" w:cs="Times New Roman"/>
          <w:b/>
          <w:bCs/>
          <w:lang w:eastAsia="zh-CN"/>
        </w:rPr>
      </w:pPr>
      <w:r>
        <w:rPr>
          <w:rFonts w:hint="default" w:ascii="Times New Roman" w:hAnsi="Times New Roman" w:eastAsia="仿宋" w:cs="Times New Roman"/>
          <w:b/>
          <w:bCs/>
          <w:lang w:eastAsia="zh-CN"/>
        </w:rPr>
        <w:t>背景技术</w:t>
      </w:r>
    </w:p>
    <w:p w14:paraId="0FB6DD5A">
      <w:pPr>
        <w:spacing w:after="120" w:line="276" w:lineRule="auto"/>
      </w:pPr>
      <w:r>
        <w:rPr>
          <w:rFonts w:ascii="宋体" w:hAnsi="宋体" w:eastAsia="宋体"/>
          <w:sz w:val="21"/>
        </w:rPr>
        <w:t>无人机多光谱影像可以记录水稻冠层在绿光、红光和近红外波段的反射率。通过构造植被指数并建立植被指数与叶绿素、生物量、叶面积指数或产量之间的关系，可以获得田间长势和养分空间差异，为变量施肥提供依据。</w:t>
      </w:r>
    </w:p>
    <w:p w14:paraId="75BAE596">
      <w:pPr>
        <w:spacing w:after="120" w:line="276" w:lineRule="auto"/>
      </w:pPr>
      <w:r>
        <w:rPr>
          <w:rFonts w:ascii="宋体" w:hAnsi="宋体" w:eastAsia="宋体"/>
          <w:sz w:val="21"/>
        </w:rPr>
        <w:t>中国专利申请CN121866950A公开了对水稻冠层多维特征进行融合、预测长势等级并确定氮肥调整因子的方案。该方案说明了长势等级与氮肥调整之间的关系，但没有形成按多个水稻生育期选择不同植被指数函数和诊断函数、由当前诊断范围的分位数建立等级阈值、再按真实地面距离和重叠面积构造施肥处方格的连续公式关系。</w:t>
      </w:r>
    </w:p>
    <w:p w14:paraId="50D1108A">
      <w:pPr>
        <w:spacing w:after="120" w:line="276" w:lineRule="auto"/>
      </w:pPr>
      <w:r>
        <w:rPr>
          <w:rFonts w:ascii="宋体" w:hAnsi="宋体" w:eastAsia="宋体"/>
          <w:sz w:val="21"/>
        </w:rPr>
        <w:t>现有技术中，单一植被指数或单一诊断模型难以适应水稻从幼苗期至成熟期的冠层变化；固定绝对阈值难以适应不同田块和管理区的诊断值分布；诊断等级与施肥量之间如果缺少明确的参数关系，则难以复算和校准；直接按照源影像像素个数聚合施肥量，还会使目标处方格的真实地面尺寸随源分辨率或坐标单位变化。因此，需要一种以公式为核心，把多生育期养分诊断、相对分级、施肥量计算和固定地面尺度处方图构造连续连接的方法。</w:t>
      </w:r>
    </w:p>
    <w:p w14:paraId="31D9A34C">
      <w:pPr>
        <w:pStyle w:val="31"/>
        <w:bidi w:val="0"/>
      </w:pPr>
      <w:r>
        <w:t>发明内容</w:t>
      </w:r>
    </w:p>
    <w:p w14:paraId="6FC1E234">
      <w:pPr>
        <w:bidi w:val="0"/>
        <w:rPr>
          <w:b/>
          <w:bCs/>
        </w:rPr>
      </w:pPr>
      <w:r>
        <w:rPr>
          <w:b/>
          <w:bCs/>
        </w:rPr>
        <w:t>要解决的技术问题</w:t>
      </w:r>
    </w:p>
    <w:p w14:paraId="181BDDD1">
      <w:pPr>
        <w:spacing w:after="120" w:line="276" w:lineRule="auto"/>
      </w:pPr>
      <w:r>
        <w:rPr>
          <w:rFonts w:ascii="宋体" w:hAnsi="宋体" w:eastAsia="宋体"/>
          <w:sz w:val="21"/>
        </w:rPr>
        <w:t>本发明旨在解决不同水稻生育期的光谱响应和诊断指标不一致、固定诊断阈值适应性不足、养分等级到施肥量缺少可配置数学关系以及处方格缺少固定真实地面尺度的问题。</w:t>
      </w:r>
    </w:p>
    <w:p w14:paraId="6EFD820B">
      <w:pPr>
        <w:bidi w:val="0"/>
        <w:rPr>
          <w:b/>
          <w:bCs/>
        </w:rPr>
      </w:pPr>
      <w:r>
        <w:rPr>
          <w:b/>
          <w:bCs/>
        </w:rPr>
        <w:t>技术方案</w:t>
      </w:r>
    </w:p>
    <w:p w14:paraId="5B0D4DB3">
      <w:pPr>
        <w:spacing w:after="120" w:line="276" w:lineRule="auto"/>
      </w:pPr>
      <w:r>
        <w:rPr>
          <w:rFonts w:ascii="宋体" w:hAnsi="宋体" w:eastAsia="宋体"/>
          <w:sz w:val="21"/>
        </w:rPr>
        <w:t>本发明提供一种水稻养分遥感诊断无人机精准施肥的方法，包括以下步骤。</w:t>
      </w:r>
    </w:p>
    <w:p w14:paraId="371E9BB8">
      <w:pPr>
        <w:spacing w:after="120" w:line="276" w:lineRule="auto"/>
      </w:pPr>
      <w:r>
        <w:rPr>
          <w:rFonts w:ascii="宋体" w:hAnsi="宋体" w:eastAsia="宋体"/>
          <w:sz w:val="21"/>
        </w:rPr>
        <w:t>步骤一，获取水稻田绿光、红光和近红外波段反射率影像，并确定待诊断水稻的生育期。各波段影像采用相同尺寸、坐标参考和仿射网格，只有各波段均有效的像元参与计算。</w:t>
      </w:r>
    </w:p>
    <w:p w14:paraId="567ADA2B">
      <w:pPr>
        <w:spacing w:after="120" w:line="276" w:lineRule="auto"/>
      </w:pPr>
      <w:r>
        <w:rPr>
          <w:rFonts w:ascii="宋体" w:hAnsi="宋体" w:eastAsia="宋体"/>
          <w:sz w:val="21"/>
        </w:rPr>
        <w:t xml:space="preserve">步骤二，根据生育期选择植被指数函数和诊断函数。设生育期为 </w:t>
      </w:r>
      <m:oMath>
        <m:r>
          <m:rPr>
            <m:sty m:val="p"/>
          </m:rPr>
          <w:rPr>
            <w:rFonts w:ascii="Cambria Math" w:hAnsi="Cambria Math" w:eastAsia="Cambria Math" w:cs="Cambria Math"/>
          </w:rPr>
          <m:t>s</m:t>
        </m:r>
      </m:oMath>
      <w:r>
        <w:rPr>
          <w:rFonts w:ascii="宋体" w:hAnsi="宋体" w:eastAsia="宋体"/>
          <w:sz w:val="21"/>
        </w:rPr>
        <w:t xml:space="preserve">，地理位置 </w:t>
      </w:r>
      <m:oMath>
        <m:r>
          <m:rPr>
            <m:sty m:val="p"/>
          </m:rPr>
          <w:rPr>
            <w:rFonts w:ascii="Cambria Math" w:hAnsi="Cambria Math" w:eastAsia="Cambria Math" w:cs="Cambria Math"/>
          </w:rPr>
          <m:t>x</m:t>
        </m:r>
      </m:oMath>
      <w:r>
        <w:rPr>
          <w:rFonts w:ascii="宋体" w:hAnsi="宋体" w:eastAsia="宋体"/>
          <w:sz w:val="21"/>
        </w:rPr>
        <w:t xml:space="preserve"> 处的绿光、红光和近红外反射率分别为 </w:t>
      </w:r>
      <m:oMath>
        <m:sSub>
          <m:sSubPr/>
          <m:e>
            <m:r>
              <m:rPr>
                <m:sty m:val="p"/>
              </m:rPr>
              <w:rPr>
                <w:rFonts w:ascii="Cambria Math" w:hAnsi="Cambria Math" w:eastAsia="Cambria Math" w:cs="Cambria Math"/>
              </w:rPr>
              <m:t>B</m:t>
            </m:r>
          </m:e>
          <m:sub>
            <m:r>
              <m:rPr>
                <m:sty m:val="p"/>
              </m:rPr>
              <w:rPr>
                <w:rFonts w:ascii="Cambria Math" w:hAnsi="Cambria Math" w:eastAsia="Cambria Math" w:cs="Cambria Math"/>
              </w:rPr>
              <m:t>2</m:t>
            </m:r>
          </m:sub>
        </m:sSub>
        <m:r>
          <m:rPr>
            <m:sty m:val="p"/>
          </m:rPr>
          <w:rPr>
            <w:rFonts w:ascii="Cambria Math" w:hAnsi="Cambria Math" w:eastAsia="Cambria Math" w:cs="Cambria Math"/>
          </w:rPr>
          <m:t>(x)</m:t>
        </m:r>
      </m:oMath>
      <w:r>
        <w:rPr>
          <w:rFonts w:ascii="宋体" w:hAnsi="宋体" w:eastAsia="宋体"/>
          <w:sz w:val="21"/>
        </w:rPr>
        <w:t>、</w:t>
      </w:r>
      <m:oMath>
        <m:sSub>
          <m:sSubPr/>
          <m:e>
            <m:r>
              <m:rPr>
                <m:sty m:val="p"/>
              </m:rPr>
              <w:rPr>
                <w:rFonts w:ascii="Cambria Math" w:hAnsi="Cambria Math" w:eastAsia="Cambria Math" w:cs="Cambria Math"/>
              </w:rPr>
              <m:t>B</m:t>
            </m:r>
          </m:e>
          <m:sub>
            <m:r>
              <m:rPr>
                <m:sty m:val="p"/>
              </m:rPr>
              <w:rPr>
                <w:rFonts w:ascii="Cambria Math" w:hAnsi="Cambria Math" w:eastAsia="Cambria Math" w:cs="Cambria Math"/>
              </w:rPr>
              <m:t>3</m:t>
            </m:r>
          </m:sub>
        </m:sSub>
        <m:r>
          <m:rPr>
            <m:sty m:val="p"/>
          </m:rPr>
          <w:rPr>
            <w:rFonts w:ascii="Cambria Math" w:hAnsi="Cambria Math" w:eastAsia="Cambria Math" w:cs="Cambria Math"/>
          </w:rPr>
          <m:t>(x)</m:t>
        </m:r>
      </m:oMath>
      <w:r>
        <w:rPr>
          <w:rFonts w:ascii="宋体" w:hAnsi="宋体" w:eastAsia="宋体"/>
          <w:sz w:val="21"/>
        </w:rPr>
        <w:t xml:space="preserve"> 和 </w:t>
      </w:r>
      <m:oMath>
        <m:sSub>
          <m:sSubPr/>
          <m:e>
            <m:r>
              <m:rPr>
                <m:sty m:val="p"/>
              </m:rPr>
              <w:rPr>
                <w:rFonts w:ascii="Cambria Math" w:hAnsi="Cambria Math" w:eastAsia="Cambria Math" w:cs="Cambria Math"/>
              </w:rPr>
              <m:t>B</m:t>
            </m:r>
          </m:e>
          <m:sub>
            <m:r>
              <m:rPr>
                <m:sty m:val="p"/>
              </m:rPr>
              <w:rPr>
                <w:rFonts w:ascii="Cambria Math" w:hAnsi="Cambria Math" w:eastAsia="Cambria Math" w:cs="Cambria Math"/>
              </w:rPr>
              <m:t>4</m:t>
            </m:r>
          </m:sub>
        </m:sSub>
        <m:r>
          <m:rPr>
            <m:sty m:val="p"/>
          </m:rPr>
          <w:rPr>
            <w:rFonts w:ascii="Cambria Math" w:hAnsi="Cambria Math" w:eastAsia="Cambria Math" w:cs="Cambria Math"/>
          </w:rPr>
          <m:t>(x)</m:t>
        </m:r>
      </m:oMath>
      <w:r>
        <w:rPr>
          <w:rFonts w:ascii="宋体" w:hAnsi="宋体" w:eastAsia="宋体"/>
          <w:sz w:val="21"/>
        </w:rPr>
        <w:t>，植被指数和养分诊断值分别满足：</w:t>
      </w:r>
    </w:p>
    <w:p w14:paraId="5AC6AC0A">
      <w:pPr>
        <w:spacing w:before="60" w:after="120"/>
        <w:jc w:val="center"/>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Cambria Math"/>
                      <w:sz w:val="24"/>
                    </w:rPr>
                  </m:ctrlPr>
                </m:sSubPr>
                <m:e>
                  <m:r>
                    <m:rPr/>
                    <w:rPr>
                      <w:rFonts w:hint="default" w:ascii="Cambria Math" w:hAnsi="Cambria Math" w:eastAsia="Cambria Math"/>
                      <w:sz w:val="24"/>
                    </w:rPr>
                    <m:t>I</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r>
                <m:rPr/>
                <w:rPr>
                  <w:rFonts w:hint="default" w:ascii="Cambria Math" w:hAnsi="Cambria Math" w:eastAsia="Cambria Math"/>
                  <w:sz w:val="24"/>
                </w:rPr>
                <m:t>(x)=</m:t>
              </m:r>
              <m:sSub>
                <m:sSubPr>
                  <m:ctrlPr>
                    <w:rPr>
                      <w:rFonts w:hint="default" w:ascii="Cambria Math" w:hAnsi="Cambria Math" w:eastAsia="Cambria Math"/>
                      <w:sz w:val="24"/>
                    </w:rPr>
                  </m:ctrlPr>
                </m:sSubPr>
                <m:e>
                  <m:r>
                    <m:rPr/>
                    <w:rPr>
                      <w:rFonts w:hint="default" w:ascii="Cambria Math" w:hAnsi="Cambria Math" w:eastAsia="Cambria Math"/>
                      <w:sz w:val="24"/>
                    </w:rPr>
                    <m:t>f</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d>
                <m:dPr>
                  <m:ctrlPr>
                    <w:rPr>
                      <w:rFonts w:hint="default" w:ascii="Cambria Math" w:hAnsi="Cambria Math" w:eastAsia="Cambria Math"/>
                      <w:sz w:val="24"/>
                    </w:rPr>
                  </m:ctrlPr>
                </m:dPr>
                <m:e>
                  <m:sSub>
                    <m:sSubPr>
                      <m:ctrlPr>
                        <w:rPr>
                          <w:rFonts w:hint="default" w:ascii="Cambria Math" w:hAnsi="Cambria Math" w:eastAsia="Cambria Math"/>
                          <w:sz w:val="24"/>
                        </w:rPr>
                      </m:ctrlPr>
                    </m:sSubPr>
                    <m:e>
                      <m:r>
                        <m:rPr/>
                        <w:rPr>
                          <w:rFonts w:hint="default" w:ascii="Cambria Math" w:hAnsi="Cambria Math" w:eastAsia="Cambria Math"/>
                          <w:sz w:val="24"/>
                        </w:rPr>
                        <m:t>B</m:t>
                      </m:r>
                      <m:ctrlPr>
                        <w:rPr>
                          <w:rFonts w:ascii="Cambria Math" w:hAnsi="Cambria Math" w:eastAsia="Cambria Math"/>
                          <w:sz w:val="24"/>
                        </w:rPr>
                      </m:ctrlPr>
                    </m:e>
                    <m:sub>
                      <m:r>
                        <m:rPr/>
                        <w:rPr>
                          <w:rFonts w:hint="default" w:ascii="Cambria Math" w:hAnsi="Cambria Math" w:eastAsia="Cambria Math"/>
                          <w:sz w:val="24"/>
                        </w:rPr>
                        <m:t>2</m:t>
                      </m:r>
                      <m:ctrlPr>
                        <w:rPr>
                          <w:rFonts w:ascii="Cambria Math" w:hAnsi="Cambria Math" w:eastAsia="Cambria Math"/>
                          <w:sz w:val="24"/>
                        </w:rPr>
                      </m:ctrlPr>
                    </m:sub>
                  </m:sSub>
                  <m:r>
                    <m:rPr/>
                    <w:rPr>
                      <w:rFonts w:hint="default" w:ascii="Cambria Math" w:hAnsi="Cambria Math" w:eastAsia="Cambria Math"/>
                      <w:sz w:val="24"/>
                    </w:rPr>
                    <m:t>(x),</m:t>
                  </m:r>
                  <m:sSub>
                    <m:sSubPr>
                      <m:ctrlPr>
                        <w:rPr>
                          <w:rFonts w:hint="default" w:ascii="Cambria Math" w:hAnsi="Cambria Math" w:eastAsia="Cambria Math"/>
                          <w:sz w:val="24"/>
                        </w:rPr>
                      </m:ctrlPr>
                    </m:sSubPr>
                    <m:e>
                      <m:r>
                        <m:rPr/>
                        <w:rPr>
                          <w:rFonts w:hint="default" w:ascii="Cambria Math" w:hAnsi="Cambria Math" w:eastAsia="Cambria Math"/>
                          <w:sz w:val="24"/>
                        </w:rPr>
                        <m:t>B</m:t>
                      </m:r>
                      <m:ctrlPr>
                        <w:rPr>
                          <w:rFonts w:ascii="Cambria Math" w:hAnsi="Cambria Math" w:eastAsia="Cambria Math"/>
                          <w:sz w:val="24"/>
                        </w:rPr>
                      </m:ctrlPr>
                    </m:e>
                    <m:sub>
                      <m:r>
                        <m:rPr/>
                        <w:rPr>
                          <w:rFonts w:hint="default" w:ascii="Cambria Math" w:hAnsi="Cambria Math" w:eastAsia="Cambria Math"/>
                          <w:sz w:val="24"/>
                        </w:rPr>
                        <m:t>3</m:t>
                      </m:r>
                      <m:ctrlPr>
                        <w:rPr>
                          <w:rFonts w:ascii="Cambria Math" w:hAnsi="Cambria Math" w:eastAsia="Cambria Math"/>
                          <w:sz w:val="24"/>
                        </w:rPr>
                      </m:ctrlPr>
                    </m:sub>
                  </m:sSub>
                  <m:r>
                    <m:rPr/>
                    <w:rPr>
                      <w:rFonts w:hint="default" w:ascii="Cambria Math" w:hAnsi="Cambria Math" w:eastAsia="Cambria Math"/>
                      <w:sz w:val="24"/>
                    </w:rPr>
                    <m:t>(x),</m:t>
                  </m:r>
                  <m:sSub>
                    <m:sSubPr>
                      <m:ctrlPr>
                        <w:rPr>
                          <w:rFonts w:hint="default" w:ascii="Cambria Math" w:hAnsi="Cambria Math" w:eastAsia="Cambria Math"/>
                          <w:sz w:val="24"/>
                        </w:rPr>
                      </m:ctrlPr>
                    </m:sSubPr>
                    <m:e>
                      <m:r>
                        <m:rPr/>
                        <w:rPr>
                          <w:rFonts w:hint="default" w:ascii="Cambria Math" w:hAnsi="Cambria Math" w:eastAsia="Cambria Math"/>
                          <w:sz w:val="24"/>
                        </w:rPr>
                        <m:t>B</m:t>
                      </m:r>
                      <m:ctrlPr>
                        <w:rPr>
                          <w:rFonts w:ascii="Cambria Math" w:hAnsi="Cambria Math" w:eastAsia="Cambria Math"/>
                          <w:sz w:val="24"/>
                        </w:rPr>
                      </m:ctrlPr>
                    </m:e>
                    <m:sub>
                      <m:r>
                        <m:rPr/>
                        <w:rPr>
                          <w:rFonts w:hint="default" w:ascii="Cambria Math" w:hAnsi="Cambria Math" w:eastAsia="Cambria Math"/>
                          <w:sz w:val="24"/>
                        </w:rPr>
                        <m:t>4</m:t>
                      </m:r>
                      <m:ctrlPr>
                        <w:rPr>
                          <w:rFonts w:ascii="Cambria Math" w:hAnsi="Cambria Math" w:eastAsia="Cambria Math"/>
                          <w:sz w:val="24"/>
                        </w:rPr>
                      </m:ctrlPr>
                    </m:sub>
                  </m:sSub>
                  <m:r>
                    <m:rPr/>
                    <w:rPr>
                      <w:rFonts w:hint="default" w:ascii="Cambria Math" w:hAnsi="Cambria Math" w:eastAsia="Cambria Math"/>
                      <w:sz w:val="24"/>
                    </w:rPr>
                    <m:t>(x)</m:t>
                  </m:r>
                  <m:ctrlPr>
                    <w:rPr>
                      <w:rFonts w:hint="default" w:ascii="Cambria Math" w:hAnsi="Cambria Math" w:eastAsia="Cambria Math"/>
                      <w:sz w:val="24"/>
                    </w:rPr>
                  </m:ctrlPr>
                </m:e>
              </m:d>
              <m:r>
                <m:rPr>
                  <m:sty m:val="p"/>
                </m:rPr>
                <w:rPr>
                  <w:rFonts w:hint="default" w:ascii="Cambria Math" w:hAnsi="Cambria Math"/>
                  <w:sz w:val="24"/>
                  <w:lang w:val="en-US" w:eastAsia="zh-CN"/>
                </w:rPr>
                <m:t>#(1)</m:t>
              </m:r>
              <m:ctrlPr>
                <m:rPr/>
                <w:rPr>
                  <w:rFonts w:hint="default" w:hAnsi="Cambria Math"/>
                  <w:i w:val="0"/>
                  <w:sz w:val="24"/>
                  <w:lang w:val="en-US" w:eastAsia="zh-CN"/>
                </w:rPr>
              </m:ctrlPr>
            </m:e>
          </m:eqArr>
        </m:oMath>
      </m:oMathPara>
    </w:p>
    <w:p w14:paraId="629C38B8">
      <w:pPr>
        <w:spacing w:before="60" w:after="120"/>
        <w:jc w:val="center"/>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Cambria Math"/>
                      <w:sz w:val="24"/>
                    </w:rPr>
                  </m:ctrlPr>
                </m:sSubPr>
                <m:e>
                  <m:r>
                    <m:rPr/>
                    <w:rPr>
                      <w:rFonts w:hint="default" w:ascii="Cambria Math" w:hAnsi="Cambria Math" w:eastAsia="Cambria Math"/>
                      <w:sz w:val="24"/>
                    </w:rPr>
                    <m:t>D</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r>
                <m:rPr/>
                <w:rPr>
                  <w:rFonts w:hint="default" w:ascii="Cambria Math" w:hAnsi="Cambria Math" w:eastAsia="Cambria Math"/>
                  <w:sz w:val="24"/>
                </w:rPr>
                <m:t>(x)=</m:t>
              </m:r>
              <m:sSub>
                <m:sSubPr>
                  <m:ctrlPr>
                    <w:rPr>
                      <w:rFonts w:hint="default" w:ascii="Cambria Math" w:hAnsi="Cambria Math" w:eastAsia="Cambria Math"/>
                      <w:sz w:val="24"/>
                    </w:rPr>
                  </m:ctrlPr>
                </m:sSubPr>
                <m:e>
                  <m:r>
                    <m:rPr/>
                    <w:rPr>
                      <w:rFonts w:hint="default" w:ascii="Cambria Math" w:hAnsi="Cambria Math" w:eastAsia="Cambria Math"/>
                      <w:sz w:val="24"/>
                    </w:rPr>
                    <m:t>g</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d>
                <m:dPr>
                  <m:ctrlPr>
                    <w:rPr>
                      <w:rFonts w:hint="default" w:ascii="Cambria Math" w:hAnsi="Cambria Math" w:eastAsia="Cambria Math"/>
                      <w:sz w:val="24"/>
                    </w:rPr>
                  </m:ctrlPr>
                </m:dPr>
                <m:e>
                  <m:sSub>
                    <m:sSubPr>
                      <m:ctrlPr>
                        <w:rPr>
                          <w:rFonts w:hint="default" w:ascii="Cambria Math" w:hAnsi="Cambria Math" w:eastAsia="Cambria Math"/>
                          <w:sz w:val="24"/>
                        </w:rPr>
                      </m:ctrlPr>
                    </m:sSubPr>
                    <m:e>
                      <m:r>
                        <m:rPr/>
                        <w:rPr>
                          <w:rFonts w:hint="default" w:ascii="Cambria Math" w:hAnsi="Cambria Math" w:eastAsia="Cambria Math"/>
                          <w:sz w:val="24"/>
                        </w:rPr>
                        <m:t>I</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r>
                    <m:rPr/>
                    <w:rPr>
                      <w:rFonts w:hint="default" w:ascii="Cambria Math" w:hAnsi="Cambria Math" w:eastAsia="Cambria Math"/>
                      <w:sz w:val="24"/>
                    </w:rPr>
                    <m:t>(x)</m:t>
                  </m:r>
                  <m:ctrlPr>
                    <w:rPr>
                      <w:rFonts w:hint="default" w:ascii="Cambria Math" w:hAnsi="Cambria Math" w:eastAsia="Cambria Math"/>
                      <w:sz w:val="24"/>
                    </w:rPr>
                  </m:ctrlPr>
                </m:e>
              </m:d>
              <m:r>
                <m:rPr>
                  <m:sty m:val="p"/>
                </m:rPr>
                <w:rPr>
                  <w:rFonts w:hint="default" w:ascii="Cambria Math" w:hAnsi="Cambria Math"/>
                  <w:sz w:val="24"/>
                  <w:lang w:val="en-US" w:eastAsia="zh-CN"/>
                </w:rPr>
                <m:t>#(2)</m:t>
              </m:r>
              <m:ctrlPr>
                <m:rPr/>
                <w:rPr>
                  <w:rFonts w:hint="default" w:hAnsi="Cambria Math"/>
                  <w:i w:val="0"/>
                  <w:sz w:val="24"/>
                  <w:lang w:val="en-US" w:eastAsia="zh-CN"/>
                </w:rPr>
              </m:ctrlPr>
            </m:e>
          </m:eqArr>
        </m:oMath>
      </m:oMathPara>
    </w:p>
    <w:p w14:paraId="6D88B8E7">
      <w:pPr>
        <w:spacing w:after="120" w:line="276" w:lineRule="auto"/>
      </w:pPr>
      <w:r>
        <w:rPr>
          <w:rFonts w:ascii="宋体" w:hAnsi="宋体" w:eastAsia="宋体"/>
          <w:sz w:val="21"/>
        </w:rPr>
        <w:t xml:space="preserve">其中，函数对 </w:t>
      </w:r>
      <m:oMath>
        <m:r>
          <m:rPr>
            <m:sty m:val="p"/>
          </m:rPr>
          <w:rPr>
            <w:rFonts w:ascii="Cambria Math" w:hAnsi="Cambria Math" w:eastAsia="Cambria Math" w:cs="Cambria Math"/>
          </w:rPr>
          <m:t>(</m:t>
        </m:r>
        <m:sSub>
          <m:sSubPr/>
          <m:e>
            <m:r>
              <m:rPr>
                <m:sty m:val="p"/>
              </m:rPr>
              <w:rPr>
                <w:rFonts w:ascii="Cambria Math" w:hAnsi="Cambria Math" w:eastAsia="Cambria Math" w:cs="Cambria Math"/>
              </w:rPr>
              <m:t>f</m:t>
            </m:r>
          </m:e>
          <m:sub>
            <m:r>
              <m:rPr>
                <m:sty m:val="p"/>
              </m:rPr>
              <w:rPr>
                <w:rFonts w:ascii="Cambria Math" w:hAnsi="Cambria Math" w:eastAsia="Cambria Math" w:cs="Cambria Math"/>
              </w:rPr>
              <m:t>s</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g</m:t>
            </m:r>
          </m:e>
          <m:sub>
            <m:r>
              <m:rPr>
                <m:sty m:val="p"/>
              </m:rPr>
              <w:rPr>
                <w:rFonts w:ascii="Cambria Math" w:hAnsi="Cambria Math" w:eastAsia="Cambria Math" w:cs="Cambria Math"/>
              </w:rPr>
              <m:t>s</m:t>
            </m:r>
          </m:sub>
        </m:sSub>
        <m:r>
          <m:rPr>
            <m:sty m:val="p"/>
          </m:rPr>
          <w:rPr>
            <w:rFonts w:ascii="Cambria Math" w:hAnsi="Cambria Math" w:eastAsia="Cambria Math" w:cs="Cambria Math"/>
          </w:rPr>
          <m:t>)</m:t>
        </m:r>
      </m:oMath>
      <w:r>
        <w:rPr>
          <w:rFonts w:ascii="宋体" w:hAnsi="宋体" w:eastAsia="宋体"/>
          <w:sz w:val="21"/>
        </w:rPr>
        <w:t xml:space="preserve"> 随水稻生育期改变。</w:t>
      </w:r>
    </w:p>
    <w:p w14:paraId="7E488AE5">
      <w:pPr>
        <w:spacing w:after="120" w:line="276" w:lineRule="auto"/>
      </w:pPr>
      <w:r>
        <w:rPr>
          <w:rFonts w:ascii="宋体" w:hAnsi="宋体" w:eastAsia="宋体"/>
          <w:sz w:val="21"/>
        </w:rPr>
        <w:t>步骤三，在诊断范围内构造有效养分诊断值集合：</w:t>
      </w:r>
    </w:p>
    <w:p w14:paraId="2B0FE061">
      <w:pPr>
        <w:spacing w:before="60" w:after="120"/>
        <w:jc w:val="center"/>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(x)∣x∈Ω,x为有效像元</m:t>
                  </m:r>
                  <m:ctrlPr>
                    <w:rPr>
                      <w:rFonts w:hint="default" w:ascii="Cambria Math" w:hAnsi="Cambria Math" w:eastAsia="宋体"/>
                      <w:sz w:val="24"/>
                    </w:rPr>
                  </m:ctrlPr>
                </m:e>
              </m:d>
              <m:r>
                <m:rPr>
                  <m:sty m:val="p"/>
                </m:rPr>
                <w:rPr>
                  <w:rFonts w:hint="default" w:ascii="Cambria Math" w:hAnsi="Cambria Math"/>
                  <w:sz w:val="24"/>
                  <w:lang w:val="en-US" w:eastAsia="zh-CN"/>
                </w:rPr>
                <m:t>#(3)</m:t>
              </m:r>
              <m:ctrlPr>
                <m:rPr/>
                <w:rPr>
                  <w:rFonts w:hint="default" w:hAnsi="Cambria Math"/>
                  <w:i w:val="0"/>
                  <w:sz w:val="24"/>
                  <w:lang w:val="en-US" w:eastAsia="zh-CN"/>
                </w:rPr>
              </m:ctrlPr>
            </m:e>
          </m:eqArr>
        </m:oMath>
      </m:oMathPara>
    </w:p>
    <w:p w14:paraId="6C5D5D84">
      <w:pPr>
        <w:spacing w:after="120" w:line="276" w:lineRule="auto"/>
      </w:pPr>
      <w:r>
        <w:rPr>
          <w:rFonts w:ascii="宋体" w:hAnsi="宋体" w:eastAsia="宋体"/>
          <w:sz w:val="21"/>
        </w:rPr>
        <w:t xml:space="preserve">给定递增分位点 </w:t>
      </w:r>
      <m:oMath>
        <m:r>
          <m:rPr>
            <m:sty m:val="p"/>
          </m:rPr>
          <w:rPr>
            <w:rFonts w:ascii="Cambria Math" w:hAnsi="Cambria Math" w:eastAsia="Cambria Math" w:cs="Cambria Math"/>
          </w:rPr>
          <m:t>0&lt;</m:t>
        </m:r>
        <m:sSub>
          <m:sSubPr/>
          <m:e>
            <m:r>
              <m:rPr>
                <m:sty m:val="p"/>
              </m:rPr>
              <w:rPr>
                <w:rFonts w:ascii="Cambria Math" w:hAnsi="Cambria Math" w:eastAsia="Cambria Math" w:cs="Cambria Math"/>
              </w:rPr>
              <m:t>p</m:t>
            </m:r>
          </m:e>
          <m:sub>
            <m:r>
              <m:rPr>
                <m:sty m:val="p"/>
              </m:rPr>
              <w:rPr>
                <w:rFonts w:ascii="Cambria Math" w:hAnsi="Cambria Math" w:eastAsia="Cambria Math" w:cs="Cambria Math"/>
              </w:rPr>
              <m:t>s,1</m:t>
            </m:r>
          </m:sub>
        </m:sSub>
        <m:r>
          <m:rPr>
            <m:sty m:val="p"/>
          </m:rPr>
          <w:rPr>
            <w:rFonts w:ascii="Cambria Math" w:hAnsi="Cambria Math" w:eastAsia="Cambria Math" w:cs="Cambria Math"/>
          </w:rPr>
          <m:t>&lt;⋯&lt;</m:t>
        </m:r>
        <m:sSub>
          <m:sSubPr/>
          <m:e>
            <m:r>
              <m:rPr>
                <m:sty m:val="p"/>
              </m:rPr>
              <w:rPr>
                <w:rFonts w:ascii="Cambria Math" w:hAnsi="Cambria Math" w:eastAsia="Cambria Math" w:cs="Cambria Math"/>
              </w:rPr>
              <m:t>p</m:t>
            </m:r>
          </m:e>
          <m:sub>
            <m:r>
              <m:rPr>
                <m:sty m:val="p"/>
              </m:rPr>
              <w:rPr>
                <w:rFonts w:ascii="Cambria Math" w:hAnsi="Cambria Math" w:eastAsia="Cambria Math" w:cs="Cambria Math"/>
              </w:rPr>
              <m:t>s,</m:t>
            </m:r>
            <m:sSub>
              <m:sSubPr/>
              <m:e>
                <m:r>
                  <m:rPr>
                    <m:sty m:val="p"/>
                  </m:rPr>
                  <w:rPr>
                    <w:rFonts w:ascii="Cambria Math" w:hAnsi="Cambria Math" w:eastAsia="Cambria Math" w:cs="Cambria Math"/>
                  </w:rPr>
                  <m:t>L</m:t>
                </m:r>
              </m:e>
              <m:sub>
                <m:r>
                  <m:rPr>
                    <m:sty m:val="p"/>
                  </m:rPr>
                  <w:rPr>
                    <w:rFonts w:ascii="Cambria Math" w:hAnsi="Cambria Math" w:eastAsia="Cambria Math" w:cs="Cambria Math"/>
                  </w:rPr>
                  <m:t>s</m:t>
                </m:r>
              </m:sub>
            </m:sSub>
          </m:sub>
        </m:sSub>
        <m:r>
          <m:rPr>
            <m:sty m:val="p"/>
          </m:rPr>
          <w:rPr>
            <w:rFonts w:ascii="Cambria Math" w:hAnsi="Cambria Math" w:eastAsia="Cambria Math" w:cs="Cambria Math"/>
          </w:rPr>
          <m:t>=1</m:t>
        </m:r>
      </m:oMath>
      <w:r>
        <w:rPr>
          <w:rFonts w:ascii="宋体" w:hAnsi="宋体" w:eastAsia="宋体"/>
          <w:sz w:val="21"/>
        </w:rPr>
        <w:t>，按下式计算分位阈值：</w:t>
      </w:r>
    </w:p>
    <w:p w14:paraId="460C0F93">
      <w:pPr>
        <w:pStyle w:val="30"/>
        <w:keepNext w:val="0"/>
        <w:keepLines w:val="0"/>
        <w:widowControl/>
        <w:suppressLineNumbers w:val="0"/>
        <w:spacing w:before="60" w:after="120"/>
        <w:jc w:val="center"/>
        <m:rPr/>
        <w:rPr>
          <w:rFonts w:hint="default" w:hAnsi="Cambria Math"/>
          <w:i w:val="0"/>
          <w:lang w:val="en-US" w:eastAsia="zh-CN"/>
        </w:rPr>
      </w:pPr>
      <m:oMathPara>
        <m:oMath>
          <m:eqArr>
            <m:eqArrPr>
              <m:maxDist m:val="1"/>
              <m:ctrlPr>
                <m:r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s,j</m:t>
                  </m:r>
                  <m:ctrlPr>
                    <w:rPr>
                      <w:rFonts w:ascii="Cambria Math" w:hAnsi="Cambria Math" w:eastAsia="Consolas"/>
                    </w:rPr>
                  </m:ctrlPr>
                </m:sub>
              </m:sSub>
              <m:r>
                <m:rPr/>
                <w:rPr>
                  <w:rFonts w:hint="default" w:ascii="Cambria Math" w:hAnsi="Cambria Math" w:eastAsia="Consolas"/>
                </w:rPr>
                <m:t>=</m:t>
              </m:r>
              <m:r>
                <m:rPr>
                  <m:sty m:val="p"/>
                </m:rPr>
                <w:rPr>
                  <w:rFonts w:hint="default" w:ascii="Cambria Math" w:hAnsi="Cambria Math" w:eastAsia="Consolas"/>
                </w:rPr>
                <m:t>Quantile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S</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s,j</m:t>
                  </m:r>
                  <m:ctrlPr>
                    <w:rPr>
                      <w:rFonts w:ascii="Cambria Math" w:hAnsi="Cambria Math" w:eastAsia="Consolas"/>
                    </w:rPr>
                  </m:ctrlPr>
                </m:sub>
              </m:sSub>
              <m:r>
                <m:rPr/>
                <w:rPr>
                  <w:rFonts w:hint="default" w:ascii="Cambria Math" w:hAnsi="Cambria Math" w:eastAsia="Consolas"/>
                </w:rPr>
                <m:t>)</m:t>
              </m:r>
              <m:r>
                <m:rPr>
                  <m:sty m:val="p"/>
                </m:rPr>
                <w:rPr>
                  <w:rFonts w:hint="default" w:ascii="Cambria Math" w:hAnsi="Cambria Math"/>
                  <w:lang w:val="en-US" w:eastAsia="zh-CN"/>
                </w:rPr>
                <m:t>#(4)</m:t>
              </m:r>
              <m:ctrlPr>
                <m:rPr/>
                <w:rPr>
                  <w:rFonts w:hint="default" w:hAnsi="Cambria Math"/>
                  <w:i w:val="0"/>
                  <w:lang w:val="en-US" w:eastAsia="zh-CN"/>
                </w:rPr>
              </m:ctrlPr>
            </m:e>
          </m:eqArr>
        </m:oMath>
      </m:oMathPara>
    </w:p>
    <w:p w14:paraId="3F9CF245">
      <w:pPr>
        <w:spacing w:after="120" w:line="276" w:lineRule="auto"/>
        <w:rPr>
          <w:rFonts w:ascii="宋体" w:hAnsi="宋体" w:eastAsia="宋体"/>
          <w:sz w:val="21"/>
        </w:rPr>
      </w:pPr>
      <w:r>
        <w:rPr>
          <w:rFonts w:ascii="宋体" w:hAnsi="宋体" w:eastAsia="宋体"/>
          <w:sz w:val="21"/>
        </w:rPr>
        <w:t xml:space="preserve">令 </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s,0</m:t>
            </m:r>
          </m:sub>
        </m:sSub>
        <m:r>
          <m:rPr>
            <m:sty m:val="p"/>
          </m:rPr>
          <w:rPr>
            <w:rFonts w:ascii="Cambria Math" w:hAnsi="Cambria Math" w:eastAsia="Cambria Math" w:cs="Cambria Math"/>
          </w:rPr>
          <m:t>=−∞</m:t>
        </m:r>
      </m:oMath>
      <w:r>
        <w:rPr>
          <w:rFonts w:ascii="宋体" w:hAnsi="宋体" w:eastAsia="宋体"/>
          <w:sz w:val="21"/>
        </w:rPr>
        <w:t>，则养分等级按下式确定：</w:t>
      </w:r>
    </w:p>
    <w:p w14:paraId="4E1E96C2">
      <w:pPr>
        <w:pStyle w:val="30"/>
        <w:keepNext w:val="0"/>
        <w:keepLines w:val="0"/>
        <w:widowControl/>
        <w:suppressLineNumbers w:val="0"/>
        <w:spacing w:after="120" w:line="276" w:lineRule="auto"/>
        <m:rPr/>
        <w:rPr>
          <w:rFonts w:hint="default" w:hAnsi="Cambria Math"/>
          <w:i w:val="0"/>
          <w:lang w:val="en-US" w:eastAsia="zh-CN"/>
        </w:rPr>
      </w:pPr>
      <m:oMathPara>
        <m:oMath>
          <m:eqArr>
            <m:eqArrPr>
              <m:maxDist m:val="1"/>
              <m:ctrlPr>
                <m:r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 xml:space="preserve">(x)=j, </m:t>
              </m:r>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s,j−1</m:t>
                  </m:r>
                  <m:ctrlPr>
                    <w:rPr>
                      <w:rFonts w:ascii="Cambria Math" w:hAnsi="Cambria Math" w:eastAsia="Consolas"/>
                    </w:rPr>
                  </m:ctrlPr>
                </m:sub>
              </m:sSub>
              <m:r>
                <m:rPr/>
                <w:rPr>
                  <w:rFonts w:hint="default" w:ascii="Cambria Math" w:hAnsi="Cambria Math" w:eastAsia="Consolas"/>
                </w:rPr>
                <m:t>&lt;</m:t>
              </m:r>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(x)≤</m:t>
              </m:r>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s,j</m:t>
                  </m:r>
                  <m:ctrlPr>
                    <w:rPr>
                      <w:rFonts w:ascii="Cambria Math" w:hAnsi="Cambria Math" w:eastAsia="Consolas"/>
                    </w:rPr>
                  </m:ctrlPr>
                </m:sub>
              </m:sSub>
              <m:r>
                <m:rPr>
                  <m:sty m:val="p"/>
                </m:rPr>
                <w:rPr>
                  <w:rFonts w:hint="default" w:ascii="Cambria Math" w:hAnsi="Cambria Math"/>
                  <w:lang w:val="en-US" w:eastAsia="zh-CN"/>
                </w:rPr>
                <m:t>#(5)</m:t>
              </m:r>
              <m:ctrlPr>
                <m:rPr/>
                <w:rPr>
                  <w:rFonts w:hint="default" w:hAnsi="Cambria Math"/>
                  <w:i w:val="0"/>
                  <w:lang w:val="en-US" w:eastAsia="zh-CN"/>
                </w:rPr>
              </m:ctrlPr>
            </m:e>
          </m:eqArr>
        </m:oMath>
      </m:oMathPara>
    </w:p>
    <w:p w14:paraId="3A4F3AE6">
      <w:pPr>
        <w:spacing w:before="60" w:after="120"/>
        <w:jc w:val="both"/>
        <m:rPr/>
        <w:rPr>
          <w:rFonts w:hint="eastAsia" w:hAnsi="Cambria Math" w:eastAsia="宋体" w:cs="Cambria Math"/>
          <w:b w:val="0"/>
          <w:i w:val="0"/>
          <w:lang w:val="en-US" w:eastAsia="zh-CN"/>
        </w:rPr>
      </w:pPr>
      <w:r>
        <m:rPr/>
        <w:rPr>
          <w:rFonts w:hint="eastAsia" w:hAnsi="Cambria Math" w:cs="Cambria Math"/>
          <w:b w:val="0"/>
          <w:i w:val="0"/>
          <w:lang w:val="en-US" w:eastAsia="zh-CN"/>
        </w:rPr>
        <w:t xml:space="preserve"> </w:t>
      </w:r>
    </w:p>
    <w:p w14:paraId="6515FE6B">
      <w:pPr>
        <w:spacing w:after="120" w:line="276" w:lineRule="auto"/>
      </w:pPr>
      <w:r>
        <w:rPr>
          <w:rFonts w:ascii="宋体" w:hAnsi="宋体" w:eastAsia="宋体"/>
          <w:sz w:val="21"/>
        </w:rPr>
        <w:t xml:space="preserve">步骤四，根据基准等级 </w:t>
      </w:r>
      <m:oMath>
        <m:r>
          <m:rPr>
            <m:sty m:val="p"/>
          </m:rPr>
          <w:rPr>
            <w:rFonts w:ascii="Cambria Math" w:hAnsi="Cambria Math" w:eastAsia="Cambria Math" w:cs="Cambria Math"/>
          </w:rPr>
          <m:t>b</m:t>
        </m:r>
      </m:oMath>
      <w:r>
        <w:rPr>
          <w:rFonts w:ascii="宋体" w:hAnsi="宋体" w:eastAsia="宋体"/>
          <w:sz w:val="21"/>
        </w:rPr>
        <w:t xml:space="preserve">、基准施肥量 </w:t>
      </w:r>
      <m:oMath>
        <m:sSub>
          <m:sSubPr/>
          <m:e>
            <m:r>
              <m:rPr>
                <m:sty m:val="p"/>
              </m:rPr>
              <w:rPr>
                <w:rFonts w:ascii="Cambria Math" w:hAnsi="Cambria Math" w:eastAsia="Cambria Math" w:cs="Cambria Math"/>
              </w:rPr>
              <m:t>Q</m:t>
            </m:r>
          </m:e>
          <m:sub>
            <m:r>
              <m:rPr>
                <m:sty m:val="p"/>
              </m:rPr>
              <w:rPr>
                <w:rFonts w:ascii="Cambria Math" w:hAnsi="Cambria Math" w:eastAsia="Cambria Math" w:cs="Cambria Math"/>
              </w:rPr>
              <m:t>b</m:t>
            </m:r>
          </m:sub>
        </m:sSub>
      </m:oMath>
      <w:r>
        <w:rPr>
          <w:rFonts w:ascii="宋体" w:hAnsi="宋体" w:eastAsia="宋体"/>
          <w:sz w:val="21"/>
        </w:rPr>
        <w:t xml:space="preserve"> 和等级变化系数 </w:t>
      </w:r>
      <m:oMath>
        <m:r>
          <m:rPr>
            <m:sty m:val="p"/>
          </m:rPr>
          <w:rPr>
            <w:rFonts w:ascii="Cambria Math" w:hAnsi="Cambria Math" w:eastAsia="Cambria Math" w:cs="Cambria Math"/>
          </w:rPr>
          <m:t>k</m:t>
        </m:r>
      </m:oMath>
      <w:r>
        <w:rPr>
          <w:rFonts w:ascii="宋体" w:hAnsi="宋体" w:eastAsia="宋体"/>
          <w:sz w:val="21"/>
        </w:rPr>
        <w:t xml:space="preserve">，按下式计算第 </w:t>
      </w:r>
      <m:oMath>
        <m:r>
          <m:rPr>
            <m:sty m:val="p"/>
          </m:rPr>
          <w:rPr>
            <w:rFonts w:ascii="Cambria Math" w:hAnsi="Cambria Math" w:eastAsia="Cambria Math" w:cs="Cambria Math"/>
          </w:rPr>
          <m:t>i</m:t>
        </m:r>
      </m:oMath>
      <w:r>
        <w:rPr>
          <w:rFonts w:ascii="宋体" w:hAnsi="宋体" w:eastAsia="宋体"/>
          <w:sz w:val="21"/>
        </w:rPr>
        <w:t xml:space="preserve"> 个养分等级对应的单位面积施肥量：</w:t>
      </w:r>
    </w:p>
    <w:p w14:paraId="42B66B3E">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Q</m:t>
                  </m:r>
                </m:e>
                <m:sub>
                  <m:r>
                    <m:rPr>
                      <m:sty m:val="p"/>
                    </m:rPr>
                    <w:rPr>
                      <w:rFonts w:ascii="Cambria Math" w:hAnsi="Cambria Math" w:eastAsia="Cambria Math" w:cs="Cambria Math"/>
                    </w:rPr>
                    <m:t>i</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Q</m:t>
                  </m:r>
                </m:e>
                <m:sub>
                  <m:r>
                    <m:rPr>
                      <m:sty m:val="p"/>
                    </m:rPr>
                    <w:rPr>
                      <w:rFonts w:ascii="Cambria Math" w:hAnsi="Cambria Math" w:eastAsia="Cambria Math" w:cs="Cambria Math"/>
                    </w:rPr>
                    <m:t>b</m:t>
                  </m:r>
                </m:sub>
              </m:sSub>
              <m:r>
                <m:rPr>
                  <m:sty m:val="p"/>
                </m:rPr>
                <w:rPr>
                  <w:rFonts w:ascii="Cambria Math" w:hAnsi="Cambria Math" w:eastAsia="Cambria Math" w:cs="Cambria Math"/>
                </w:rPr>
                <m:t>\leqft[1+(b−i)k]</m:t>
              </m:r>
              <m:r>
                <m:rPr>
                  <m:sty m:val="p"/>
                </m:rPr>
                <w:rPr>
                  <w:rFonts w:hint="default" w:ascii="Cambria Math" w:hAnsi="Cambria Math" w:cs="Cambria Math"/>
                  <w:lang w:val="en-US" w:eastAsia="zh-CN"/>
                </w:rPr>
                <m:t>#</m:t>
              </m:r>
              <m:r>
                <m:rPr>
                  <m:sty m:val="p"/>
                </m:rPr>
                <w:rPr>
                  <w:rFonts w:ascii="Cambria Math" w:hAnsi="Cambria Math" w:eastAsia="Cambria Math" w:cs="Cambria Math"/>
                </w:rPr>
                <m:t>(6)</m:t>
              </m:r>
              <m:ctrlPr>
                <m:rPr/>
                <w:rPr>
                  <w:rFonts w:hAnsi="Cambria Math" w:eastAsia="Cambria Math" w:cs="Cambria Math"/>
                  <w:b w:val="0"/>
                  <w:i w:val="0"/>
                </w:rPr>
              </m:ctrlPr>
            </m:e>
          </m:eqArr>
        </m:oMath>
      </m:oMathPara>
    </w:p>
    <w:p w14:paraId="6BB49682">
      <w:pPr>
        <w:spacing w:after="120" w:line="276" w:lineRule="auto"/>
      </w:pPr>
      <w:r>
        <w:rPr>
          <w:rFonts w:ascii="宋体" w:hAnsi="宋体" w:eastAsia="宋体"/>
          <w:sz w:val="21"/>
        </w:rPr>
        <w:t>像元级施肥量为：</w:t>
      </w:r>
    </w:p>
    <w:p w14:paraId="24A95A11">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Q</m:t>
                  </m:r>
                </m:e>
                <m:sub>
                  <m:r>
                    <m:rPr>
                      <m:sty m:val="p"/>
                    </m:rPr>
                    <w:rPr>
                      <w:rFonts w:ascii="Cambria Math" w:hAnsi="Cambria Math" w:eastAsia="Cambria Math" w:cs="Cambria Math"/>
                    </w:rPr>
                    <m:t>s</m:t>
                  </m:r>
                </m:sub>
              </m:sSub>
              <m:r>
                <m:rPr>
                  <m:sty m:val="p"/>
                </m:rPr>
                <w:rPr>
                  <w:rFonts w:ascii="Cambria Math" w:hAnsi="Cambria Math" w:eastAsia="Cambria Math" w:cs="Cambria Math"/>
                </w:rPr>
                <m:t>(x)=</m:t>
              </m:r>
              <m:sSub>
                <m:sSubPr/>
                <m:e>
                  <m:r>
                    <m:rPr>
                      <m:sty m:val="p"/>
                    </m:rPr>
                    <w:rPr>
                      <w:rFonts w:ascii="Cambria Math" w:hAnsi="Cambria Math" w:eastAsia="Cambria Math" w:cs="Cambria Math"/>
                    </w:rPr>
                    <m:t>Q</m:t>
                  </m:r>
                </m:e>
                <m:sub>
                  <m:sSub>
                    <m:sSubPr/>
                    <m:e>
                      <m:r>
                        <m:rPr>
                          <m:sty m:val="p"/>
                        </m:rPr>
                        <w:rPr>
                          <w:rFonts w:ascii="Cambria Math" w:hAnsi="Cambria Math" w:eastAsia="Cambria Math" w:cs="Cambria Math"/>
                        </w:rPr>
                        <m:t>C</m:t>
                      </m:r>
                    </m:e>
                    <m:sub>
                      <m:r>
                        <m:rPr>
                          <m:sty m:val="p"/>
                        </m:rPr>
                        <w:rPr>
                          <w:rFonts w:ascii="Cambria Math" w:hAnsi="Cambria Math" w:eastAsia="Cambria Math" w:cs="Cambria Math"/>
                        </w:rPr>
                        <m:t>s</m:t>
                      </m:r>
                    </m:sub>
                  </m:sSub>
                  <m:r>
                    <m:rPr>
                      <m:sty m:val="p"/>
                    </m:rPr>
                    <w:rPr>
                      <w:rFonts w:ascii="Cambria Math" w:hAnsi="Cambria Math" w:eastAsia="Cambria Math" w:cs="Cambria Math"/>
                    </w:rPr>
                    <m:t>(x)</m:t>
                  </m:r>
                </m:sub>
              </m:sSub>
              <m:r>
                <m:rPr>
                  <m:sty m:val="p"/>
                </m:rPr>
                <w:rPr>
                  <w:rFonts w:hint="default" w:ascii="Cambria Math" w:hAnsi="Cambria Math"/>
                  <w:lang w:val="en-US" w:eastAsia="zh-CN"/>
                </w:rPr>
                <m:t>#</m:t>
              </m:r>
              <m:r>
                <m:rPr>
                  <m:sty m:val="p"/>
                </m:rPr>
                <w:rPr>
                  <w:rFonts w:ascii="Cambria Math" w:hAnsi="Cambria Math" w:eastAsia="Cambria Math" w:cs="Cambria Math"/>
                </w:rPr>
                <m:t>(7)</m:t>
              </m:r>
              <m:ctrlPr>
                <m:rPr/>
                <w:rPr>
                  <w:rFonts w:hAnsi="Cambria Math" w:eastAsia="Cambria Math" w:cs="Cambria Math"/>
                  <w:b w:val="0"/>
                  <w:i w:val="0"/>
                </w:rPr>
              </m:ctrlPr>
            </m:e>
          </m:eqArr>
        </m:oMath>
      </m:oMathPara>
    </w:p>
    <w:p w14:paraId="355CDD48">
      <w:pPr>
        <w:spacing w:after="120" w:line="276" w:lineRule="auto"/>
      </w:pPr>
      <w:r>
        <w:rPr>
          <w:rFonts w:ascii="宋体" w:hAnsi="宋体" w:eastAsia="宋体"/>
          <w:sz w:val="21"/>
        </w:rPr>
        <w:t xml:space="preserve">步骤五，设目标处方格的真实地面边长为 </w:t>
      </w:r>
      <m:oMath>
        <m:r>
          <m:rPr>
            <m:sty m:val="p"/>
          </m:rPr>
          <w:rPr>
            <w:rFonts w:ascii="Cambria Math" w:hAnsi="Cambria Math" w:eastAsia="Cambria Math" w:cs="Cambria Math"/>
          </w:rPr>
          <m:t>R</m:t>
        </m:r>
      </m:oMath>
      <w:r>
        <w:rPr>
          <w:rFonts w:ascii="宋体" w:hAnsi="宋体" w:eastAsia="宋体"/>
          <w:sz w:val="21"/>
        </w:rPr>
        <w:t xml:space="preserve">，源坐标系横、纵方向一个坐标单位分别对应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x</m:t>
            </m:r>
          </m:sub>
        </m:sSub>
      </m:oMath>
      <w:r>
        <w:rPr>
          <w:rFonts w:ascii="宋体" w:hAnsi="宋体" w:eastAsia="宋体"/>
          <w:sz w:val="21"/>
        </w:rPr>
        <w:t xml:space="preserve"> 和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y</m:t>
            </m:r>
          </m:sub>
        </m:sSub>
      </m:oMath>
      <w:r>
        <w:rPr>
          <w:rFonts w:ascii="宋体" w:hAnsi="宋体" w:eastAsia="宋体"/>
          <w:sz w:val="21"/>
        </w:rPr>
        <w:t xml:space="preserve"> 米，则目标处方格在源坐标系中的横、纵尺寸为：</w:t>
      </w:r>
    </w:p>
    <w:p w14:paraId="0BE71137">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r</m:t>
                  </m:r>
                </m:e>
                <m:sub>
                  <m:r>
                    <m:rPr>
                      <m:sty m:val="p"/>
                    </m:rPr>
                    <w:rPr>
                      <w:rFonts w:ascii="Cambria Math" w:hAnsi="Cambria Math" w:eastAsia="Cambria Math" w:cs="Cambria Math"/>
                    </w:rPr>
                    <m:t>x</m:t>
                  </m:r>
                </m:sub>
              </m:sSub>
              <m:r>
                <m:rPr>
                  <m:sty m:val="p"/>
                </m:rPr>
                <w:rPr>
                  <w:rFonts w:ascii="Cambria Math" w:hAnsi="Cambria Math" w:eastAsia="Cambria Math" w:cs="Cambria Math"/>
                </w:rPr>
                <m:t>=</m:t>
              </m:r>
              <m:f>
                <m:fPr/>
                <m:num>
                  <m:r>
                    <m:rPr>
                      <m:sty m:val="p"/>
                    </m:rPr>
                    <w:rPr>
                      <w:rFonts w:ascii="Cambria Math" w:hAnsi="Cambria Math" w:eastAsia="Cambria Math" w:cs="Cambria Math"/>
                    </w:rPr>
                    <m:t>R</m:t>
                  </m:r>
                </m:num>
                <m:den>
                  <m:sSub>
                    <m:sSubPr/>
                    <m:e>
                      <m:r>
                        <m:rPr>
                          <m:sty m:val="p"/>
                        </m:rPr>
                        <w:rPr>
                          <w:rFonts w:ascii="Cambria Math" w:hAnsi="Cambria Math" w:eastAsia="Cambria Math" w:cs="Cambria Math"/>
                        </w:rPr>
                        <m:t>m</m:t>
                      </m:r>
                    </m:e>
                    <m:sub>
                      <m:r>
                        <m:rPr>
                          <m:sty m:val="p"/>
                        </m:rPr>
                        <w:rPr>
                          <w:rFonts w:ascii="Cambria Math" w:hAnsi="Cambria Math" w:eastAsia="Cambria Math" w:cs="Cambria Math"/>
                        </w:rPr>
                        <m:t>x</m:t>
                      </m:r>
                    </m:sub>
                  </m:sSub>
                </m:den>
              </m:f>
              <m:r>
                <m:rPr>
                  <m:sty m:val="p"/>
                </m:rPr>
                <w:rPr>
                  <w:rFonts w:ascii="Cambria Math" w:hAnsi="Cambria Math" w:eastAsia="Cambria Math" w:cs="Cambria Math"/>
                </w:rPr>
                <m:t>,</m:t>
              </m:r>
              <m:sSub>
                <m:sSubPr/>
                <m:e>
                  <m:r>
                    <m:rPr>
                      <m:sty m:val="p"/>
                    </m:rPr>
                    <w:rPr>
                      <w:rFonts w:ascii="Cambria Math" w:hAnsi="Cambria Math" w:eastAsia="Cambria Math" w:cs="Cambria Math"/>
                    </w:rPr>
                    <m:t>r</m:t>
                  </m:r>
                </m:e>
                <m:sub>
                  <m:r>
                    <m:rPr>
                      <m:sty m:val="p"/>
                    </m:rPr>
                    <w:rPr>
                      <w:rFonts w:ascii="Cambria Math" w:hAnsi="Cambria Math" w:eastAsia="Cambria Math" w:cs="Cambria Math"/>
                    </w:rPr>
                    <m:t>y</m:t>
                  </m:r>
                </m:sub>
              </m:sSub>
              <m:r>
                <m:rPr>
                  <m:sty m:val="p"/>
                </m:rPr>
                <w:rPr>
                  <w:rFonts w:ascii="Cambria Math" w:hAnsi="Cambria Math" w:eastAsia="Cambria Math" w:cs="Cambria Math"/>
                </w:rPr>
                <m:t>=</m:t>
              </m:r>
              <m:f>
                <m:fPr/>
                <m:num>
                  <m:r>
                    <m:rPr>
                      <m:sty m:val="p"/>
                    </m:rPr>
                    <w:rPr>
                      <w:rFonts w:ascii="Cambria Math" w:hAnsi="Cambria Math" w:eastAsia="Cambria Math" w:cs="Cambria Math"/>
                    </w:rPr>
                    <m:t>R</m:t>
                  </m:r>
                </m:num>
                <m:den>
                  <m:sSub>
                    <m:sSubPr/>
                    <m:e>
                      <m:r>
                        <m:rPr>
                          <m:sty m:val="p"/>
                        </m:rPr>
                        <w:rPr>
                          <w:rFonts w:ascii="Cambria Math" w:hAnsi="Cambria Math" w:eastAsia="Cambria Math" w:cs="Cambria Math"/>
                        </w:rPr>
                        <m:t>m</m:t>
                      </m:r>
                    </m:e>
                    <m:sub>
                      <m:r>
                        <m:rPr>
                          <m:sty m:val="p"/>
                        </m:rPr>
                        <w:rPr>
                          <w:rFonts w:ascii="Cambria Math" w:hAnsi="Cambria Math" w:eastAsia="Cambria Math" w:cs="Cambria Math"/>
                        </w:rPr>
                        <m:t>y</m:t>
                      </m:r>
                    </m:sub>
                  </m:sSub>
                </m:den>
              </m:f>
              <m:r>
                <m:rPr>
                  <m:sty m:val="p"/>
                </m:rPr>
                <w:rPr>
                  <w:rFonts w:hint="default" w:ascii="Cambria Math" w:hAnsi="Cambria Math"/>
                  <w:lang w:val="en-US" w:eastAsia="zh-CN"/>
                </w:rPr>
                <m:t>#</m:t>
              </m:r>
              <m:r>
                <m:rPr>
                  <m:sty m:val="p"/>
                </m:rPr>
                <w:rPr>
                  <w:rFonts w:ascii="Cambria Math" w:hAnsi="Cambria Math" w:eastAsia="Cambria Math" w:cs="Cambria Math"/>
                </w:rPr>
                <m:t>(8)</m:t>
              </m:r>
              <m:ctrlPr>
                <m:rPr/>
                <w:rPr>
                  <w:rFonts w:hAnsi="Cambria Math" w:eastAsia="Cambria Math" w:cs="Cambria Math"/>
                  <w:b w:val="0"/>
                  <w:i w:val="0"/>
                </w:rPr>
              </m:ctrlPr>
            </m:e>
          </m:eqArr>
        </m:oMath>
      </m:oMathPara>
    </w:p>
    <w:p w14:paraId="1E1AD892">
      <w:pPr>
        <w:spacing w:after="120" w:line="276" w:lineRule="auto"/>
      </w:pPr>
      <w:r>
        <w:rPr>
          <w:rFonts w:ascii="宋体" w:hAnsi="宋体" w:eastAsia="宋体"/>
          <w:sz w:val="21"/>
        </w:rPr>
        <w:t xml:space="preserve">设目标处方格 </w:t>
      </w:r>
      <m:oMath>
        <m:sSub>
          <m:sSubPr/>
          <m:e>
            <m:r>
              <m:rPr>
                <m:sty m:val="p"/>
              </m:rPr>
              <w:rPr>
                <w:rFonts w:ascii="Cambria Math" w:hAnsi="Cambria Math" w:eastAsia="Cambria Math" w:cs="Cambria Math"/>
              </w:rPr>
              <m:t>G</m:t>
            </m:r>
          </m:e>
          <m:sub>
            <m:r>
              <m:rPr>
                <m:sty m:val="p"/>
              </m:rPr>
              <w:rPr>
                <w:rFonts w:ascii="Cambria Math" w:hAnsi="Cambria Math" w:eastAsia="Cambria Math" w:cs="Cambria Math"/>
              </w:rPr>
              <m:t>u,v</m:t>
            </m:r>
          </m:sub>
        </m:sSub>
      </m:oMath>
      <w:r>
        <w:rPr>
          <w:rFonts w:ascii="宋体" w:hAnsi="宋体" w:eastAsia="宋体"/>
          <w:sz w:val="21"/>
        </w:rPr>
        <w:t xml:space="preserve"> 与源像元 </w:t>
      </w:r>
      <m:oMath>
        <m:r>
          <m:rPr>
            <m:sty m:val="p"/>
          </m:rPr>
          <w:rPr>
            <w:rFonts w:ascii="Cambria Math" w:hAnsi="Cambria Math" w:eastAsia="Cambria Math" w:cs="Cambria Math"/>
          </w:rPr>
          <m:t>x</m:t>
        </m:r>
      </m:oMath>
      <w:r>
        <w:rPr>
          <w:rFonts w:ascii="宋体" w:hAnsi="宋体" w:eastAsia="宋体"/>
          <w:sz w:val="21"/>
        </w:rPr>
        <w:t xml:space="preserve"> 的重叠面积为 </w:t>
      </w:r>
      <m:oMath>
        <m:sSub>
          <m:sSubPr/>
          <m:e>
            <m:r>
              <m:rPr>
                <m:sty m:val="p"/>
              </m:rPr>
              <w:rPr>
                <w:rFonts w:ascii="Cambria Math" w:hAnsi="Cambria Math" w:eastAsia="Cambria Math" w:cs="Cambria Math"/>
              </w:rPr>
              <m:t>a</m:t>
            </m:r>
          </m:e>
          <m:sub>
            <m:r>
              <m:rPr>
                <m:sty m:val="p"/>
              </m:rPr>
              <w:rPr>
                <w:rFonts w:ascii="Cambria Math" w:hAnsi="Cambria Math" w:eastAsia="Cambria Math" w:cs="Cambria Math"/>
              </w:rPr>
              <m:t>x,u,v</m:t>
            </m:r>
          </m:sub>
        </m:sSub>
      </m:oMath>
      <w:r>
        <w:rPr>
          <w:rFonts w:ascii="宋体" w:hAnsi="宋体" w:eastAsia="宋体"/>
          <w:sz w:val="21"/>
        </w:rPr>
        <w:t xml:space="preserve">，目标处方格内有效源像元集合为 </w:t>
      </w:r>
      <m:oMath>
        <m:sSub>
          <m:sSubPr/>
          <m:e>
            <m:r>
              <m:rPr>
                <m:sty m:val="p"/>
              </m:rPr>
              <w:rPr>
                <w:rFonts w:ascii="Cambria Math" w:hAnsi="Cambria Math" w:eastAsia="Cambria Math" w:cs="Cambria Math"/>
              </w:rPr>
              <m:t>V</m:t>
            </m:r>
          </m:e>
          <m:sub>
            <m:r>
              <m:rPr>
                <m:sty m:val="p"/>
              </m:rPr>
              <w:rPr>
                <w:rFonts w:ascii="Cambria Math" w:hAnsi="Cambria Math" w:eastAsia="Cambria Math" w:cs="Cambria Math"/>
              </w:rPr>
              <m:t>u,v</m:t>
            </m:r>
          </m:sub>
        </m:sSub>
      </m:oMath>
      <w:r>
        <w:rPr>
          <w:rFonts w:ascii="宋体" w:hAnsi="宋体" w:eastAsia="宋体"/>
          <w:sz w:val="21"/>
        </w:rPr>
        <w:t>，则目标处方格的施肥量为：</w:t>
      </w:r>
    </w:p>
    <w:p w14:paraId="212596E3">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P</m:t>
                  </m:r>
                </m:e>
                <m:sub>
                  <m:r>
                    <m:rPr>
                      <m:sty m:val="p"/>
                    </m:rPr>
                    <w:rPr>
                      <w:rFonts w:ascii="Cambria Math" w:hAnsi="Cambria Math" w:eastAsia="Cambria Math" w:cs="Cambria Math"/>
                    </w:rPr>
                    <m:t>s</m:t>
                  </m:r>
                </m:sub>
              </m:sSub>
              <m:r>
                <m:rPr>
                  <m:sty m:val="p"/>
                </m:rPr>
                <w:rPr>
                  <w:rFonts w:ascii="Cambria Math" w:hAnsi="Cambria Math" w:eastAsia="Cambria Math" w:cs="Cambria Math"/>
                </w:rPr>
                <m:t>(u,v)=</m:t>
              </m:r>
              <m:f>
                <m:fPr/>
                <m:num>
                  <m:sSub>
                    <m:sSubPr/>
                    <m:e>
                      <m:r>
                        <m:rPr>
                          <m:sty m:val="p"/>
                        </m:rPr>
                        <w:rPr>
                          <w:rFonts w:ascii="Cambria Math" w:hAnsi="Cambria Math" w:eastAsia="Cambria Math" w:cs="Cambria Math"/>
                        </w:rPr>
                        <m:t>∑</m:t>
                      </m:r>
                    </m:e>
                    <m:sub>
                      <m:r>
                        <m:rPr>
                          <m:sty m:val="p"/>
                        </m:rPr>
                        <w:rPr>
                          <w:rFonts w:ascii="Cambria Math" w:hAnsi="Cambria Math" w:eastAsia="Cambria Math" w:cs="Cambria Math"/>
                        </w:rPr>
                        <m:t>x∈</m:t>
                      </m:r>
                      <m:sSub>
                        <m:sSubPr/>
                        <m:e>
                          <m:r>
                            <m:rPr>
                              <m:sty m:val="p"/>
                            </m:rPr>
                            <w:rPr>
                              <w:rFonts w:ascii="Cambria Math" w:hAnsi="Cambria Math" w:eastAsia="Cambria Math" w:cs="Cambria Math"/>
                            </w:rPr>
                            <m:t>V</m:t>
                          </m:r>
                        </m:e>
                        <m:sub>
                          <m:r>
                            <m:rPr>
                              <m:sty m:val="p"/>
                            </m:rPr>
                            <w:rPr>
                              <w:rFonts w:ascii="Cambria Math" w:hAnsi="Cambria Math" w:eastAsia="Cambria Math" w:cs="Cambria Math"/>
                            </w:rPr>
                            <m:t>u,v</m:t>
                          </m:r>
                        </m:sub>
                      </m:sSub>
                    </m:sub>
                  </m:sSub>
                  <m:sSub>
                    <m:sSubPr/>
                    <m:e>
                      <m:r>
                        <m:rPr>
                          <m:sty m:val="p"/>
                        </m:rPr>
                        <w:rPr>
                          <w:rFonts w:ascii="Cambria Math" w:hAnsi="Cambria Math" w:eastAsia="Cambria Math" w:cs="Cambria Math"/>
                        </w:rPr>
                        <m:t>a</m:t>
                      </m:r>
                    </m:e>
                    <m:sub>
                      <m:r>
                        <m:rPr>
                          <m:sty m:val="p"/>
                        </m:rPr>
                        <w:rPr>
                          <w:rFonts w:ascii="Cambria Math" w:hAnsi="Cambria Math" w:eastAsia="Cambria Math" w:cs="Cambria Math"/>
                        </w:rPr>
                        <m:t>x,u,v</m:t>
                      </m:r>
                    </m:sub>
                  </m:sSub>
                  <m:sSub>
                    <m:sSubPr/>
                    <m:e>
                      <m:r>
                        <m:rPr>
                          <m:sty m:val="p"/>
                        </m:rPr>
                        <w:rPr>
                          <w:rFonts w:ascii="Cambria Math" w:hAnsi="Cambria Math" w:eastAsia="Cambria Math" w:cs="Cambria Math"/>
                        </w:rPr>
                        <m:t>Q</m:t>
                      </m:r>
                    </m:e>
                    <m:sub>
                      <m:r>
                        <m:rPr>
                          <m:sty m:val="p"/>
                        </m:rPr>
                        <w:rPr>
                          <w:rFonts w:ascii="Cambria Math" w:hAnsi="Cambria Math" w:eastAsia="Cambria Math" w:cs="Cambria Math"/>
                        </w:rPr>
                        <m:t>s</m:t>
                      </m:r>
                    </m:sub>
                  </m:sSub>
                  <m:r>
                    <m:rPr>
                      <m:sty m:val="p"/>
                    </m:rPr>
                    <w:rPr>
                      <w:rFonts w:ascii="Cambria Math" w:hAnsi="Cambria Math" w:eastAsia="Cambria Math" w:cs="Cambria Math"/>
                    </w:rPr>
                    <m:t>(x)</m:t>
                  </m:r>
                </m:num>
                <m:den>
                  <m:sSub>
                    <m:sSubPr/>
                    <m:e>
                      <m:r>
                        <m:rPr>
                          <m:sty m:val="p"/>
                        </m:rPr>
                        <w:rPr>
                          <w:rFonts w:ascii="Cambria Math" w:hAnsi="Cambria Math" w:eastAsia="Cambria Math" w:cs="Cambria Math"/>
                        </w:rPr>
                        <m:t>∑</m:t>
                      </m:r>
                    </m:e>
                    <m:sub>
                      <m:r>
                        <m:rPr>
                          <m:sty m:val="p"/>
                        </m:rPr>
                        <w:rPr>
                          <w:rFonts w:ascii="Cambria Math" w:hAnsi="Cambria Math" w:eastAsia="Cambria Math" w:cs="Cambria Math"/>
                        </w:rPr>
                        <m:t>x∈</m:t>
                      </m:r>
                      <m:sSub>
                        <m:sSubPr/>
                        <m:e>
                          <m:r>
                            <m:rPr>
                              <m:sty m:val="p"/>
                            </m:rPr>
                            <w:rPr>
                              <w:rFonts w:ascii="Cambria Math" w:hAnsi="Cambria Math" w:eastAsia="Cambria Math" w:cs="Cambria Math"/>
                            </w:rPr>
                            <m:t>V</m:t>
                          </m:r>
                        </m:e>
                        <m:sub>
                          <m:r>
                            <m:rPr>
                              <m:sty m:val="p"/>
                            </m:rPr>
                            <w:rPr>
                              <w:rFonts w:ascii="Cambria Math" w:hAnsi="Cambria Math" w:eastAsia="Cambria Math" w:cs="Cambria Math"/>
                            </w:rPr>
                            <m:t>u,v</m:t>
                          </m:r>
                        </m:sub>
                      </m:sSub>
                    </m:sub>
                  </m:sSub>
                  <m:sSub>
                    <m:sSubPr/>
                    <m:e>
                      <m:r>
                        <m:rPr>
                          <m:sty m:val="p"/>
                        </m:rPr>
                        <w:rPr>
                          <w:rFonts w:ascii="Cambria Math" w:hAnsi="Cambria Math" w:eastAsia="Cambria Math" w:cs="Cambria Math"/>
                        </w:rPr>
                        <m:t>a</m:t>
                      </m:r>
                    </m:e>
                    <m:sub>
                      <m:r>
                        <m:rPr>
                          <m:sty m:val="p"/>
                        </m:rPr>
                        <w:rPr>
                          <w:rFonts w:ascii="Cambria Math" w:hAnsi="Cambria Math" w:eastAsia="Cambria Math" w:cs="Cambria Math"/>
                        </w:rPr>
                        <m:t>x,u,v</m:t>
                      </m:r>
                    </m:sub>
                  </m:sSub>
                </m:den>
              </m:f>
              <m:r>
                <m:rPr>
                  <m:sty m:val="p"/>
                </m:rPr>
                <w:rPr>
                  <w:rFonts w:hint="default" w:ascii="Cambria Math" w:hAnsi="Cambria Math"/>
                  <w:lang w:val="en-US" w:eastAsia="zh-CN"/>
                </w:rPr>
                <m:t>#</m:t>
              </m:r>
              <m:r>
                <m:rPr>
                  <m:sty m:val="p"/>
                </m:rPr>
                <w:rPr>
                  <w:rFonts w:ascii="Cambria Math" w:hAnsi="Cambria Math" w:eastAsia="Cambria Math" w:cs="Cambria Math"/>
                </w:rPr>
                <m:t>(9)</m:t>
              </m:r>
              <m:ctrlPr>
                <m:rPr/>
                <w:rPr>
                  <w:rFonts w:hAnsi="Cambria Math" w:eastAsia="Cambria Math" w:cs="Cambria Math"/>
                  <w:b w:val="0"/>
                  <w:i w:val="0"/>
                </w:rPr>
              </m:ctrlPr>
            </m:e>
          </m:eqArr>
        </m:oMath>
      </m:oMathPara>
    </w:p>
    <w:p w14:paraId="31E6073C">
      <w:pPr>
        <w:spacing w:after="120" w:line="276" w:lineRule="auto"/>
      </w:pPr>
      <w:r>
        <w:rPr>
          <w:rFonts w:ascii="宋体" w:hAnsi="宋体" w:eastAsia="宋体"/>
          <w:sz w:val="21"/>
        </w:rPr>
        <w:t xml:space="preserve">将各目标处方格的 </w:t>
      </w:r>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s</m:t>
            </m:r>
          </m:sub>
        </m:sSub>
        <m:r>
          <m:rPr>
            <m:sty m:val="p"/>
          </m:rPr>
          <w:rPr>
            <w:rFonts w:ascii="Cambria Math" w:hAnsi="Cambria Math" w:eastAsia="Cambria Math" w:cs="Cambria Math"/>
          </w:rPr>
          <m:t>(u,v)</m:t>
        </m:r>
      </m:oMath>
      <w:r>
        <w:rPr>
          <w:rFonts w:ascii="宋体" w:hAnsi="宋体" w:eastAsia="宋体"/>
          <w:sz w:val="21"/>
        </w:rPr>
        <w:t xml:space="preserve"> 按其空间位置写入栅格，得到无人机施肥处方图。</w:t>
      </w:r>
    </w:p>
    <w:p w14:paraId="11957522">
      <w:pPr>
        <w:spacing w:after="120" w:line="276" w:lineRule="auto"/>
      </w:pPr>
      <w:r>
        <w:rPr>
          <w:rFonts w:ascii="宋体" w:hAnsi="宋体" w:eastAsia="宋体"/>
          <w:sz w:val="21"/>
        </w:rPr>
        <w:t>进一步地，幼苗期至扬花期采用五个等级，分位点为0.1、0.3、0.7、0.9和1.0；成熟期前和成熟期采用四个等级，分位点为0.25、0.6、0.9和1.0。</w:t>
      </w:r>
    </w:p>
    <w:p w14:paraId="059B6B28">
      <w:pPr>
        <w:spacing w:after="120" w:line="276" w:lineRule="auto"/>
      </w:pPr>
      <w:r>
        <w:rPr>
          <w:rFonts w:ascii="宋体" w:hAnsi="宋体" w:eastAsia="宋体"/>
          <w:sz w:val="21"/>
        </w:rPr>
        <w:t xml:space="preserve">进一步地，当有效养分诊断值数量超过预设样本容量 </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max</m:t>
            </m:r>
          </m:sub>
        </m:sSub>
      </m:oMath>
      <w:r>
        <w:rPr>
          <w:rFonts w:ascii="宋体" w:hAnsi="宋体" w:eastAsia="宋体"/>
          <w:sz w:val="21"/>
        </w:rPr>
        <w:t xml:space="preserve"> 时，采用蓄水池抽样估计式（4）中的分位阈值。遍历至第 </w:t>
      </w:r>
      <m:oMath>
        <m:r>
          <m:rPr>
            <m:sty m:val="p"/>
          </m:rPr>
          <w:rPr>
            <w:rFonts w:ascii="Cambria Math" w:hAnsi="Cambria Math" w:eastAsia="Cambria Math" w:cs="Cambria Math"/>
          </w:rPr>
          <m:t>n</m:t>
        </m:r>
      </m:oMath>
      <w:r>
        <w:rPr>
          <w:rFonts w:ascii="宋体" w:hAnsi="宋体" w:eastAsia="宋体"/>
          <w:sz w:val="21"/>
        </w:rPr>
        <w:t xml:space="preserve"> 个有效诊断值时，其保留概率为：</w:t>
      </w:r>
    </w:p>
    <w:p w14:paraId="676F1F91">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r>
                <m:rPr>
                  <m:sty m:val="p"/>
                </m:rPr>
                <w:rPr>
                  <w:rFonts w:ascii="Cambria Math" w:hAnsi="Cambria Math" w:eastAsia="Cambria Math" w:cs="Cambria Math"/>
                </w:rPr>
                <m:t>Pr{</m:t>
              </m:r>
              <m:sSub>
                <m:sSubPr/>
                <m:e>
                  <m:r>
                    <m:rPr>
                      <m:sty m:val="p"/>
                    </m:rPr>
                    <w:rPr>
                      <w:rFonts w:ascii="Cambria Math" w:hAnsi="Cambria Math" w:eastAsia="Cambria Math" w:cs="Cambria Math"/>
                    </w:rPr>
                    <m:t>D</m:t>
                  </m:r>
                </m:e>
                <m:sub>
                  <m:r>
                    <m:rPr>
                      <m:sty m:val="p"/>
                    </m:rPr>
                    <w:rPr>
                      <w:rFonts w:ascii="Cambria Math" w:hAnsi="Cambria Math" w:eastAsia="Cambria Math" w:cs="Cambria Math"/>
                    </w:rPr>
                    <m:t>s</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x</m:t>
                  </m:r>
                </m:e>
                <m:sub>
                  <m:r>
                    <m:rPr>
                      <m:sty m:val="p"/>
                    </m:rPr>
                    <w:rPr>
                      <w:rFonts w:ascii="Cambria Math" w:hAnsi="Cambria Math" w:eastAsia="Cambria Math" w:cs="Cambria Math"/>
                    </w:rPr>
                    <m:t>n</m:t>
                  </m:r>
                </m:sub>
              </m:sSub>
              <m:r>
                <m:rPr>
                  <m:sty m:val="p"/>
                </m:rPr>
                <w:rPr>
                  <w:rFonts w:ascii="Cambria Math" w:hAnsi="Cambria Math" w:eastAsia="Cambria Math" w:cs="Cambria Math"/>
                </w:rPr>
                <m:t>)</m:t>
              </m:r>
              <m:r>
                <m:rPr>
                  <m:sty m:val="p"/>
                </m:rPr>
                <m:t>保留</m:t>
              </m:r>
              <m:r>
                <m:rPr>
                  <m:sty m:val="p"/>
                </m:rPr>
                <w:rPr>
                  <w:rFonts w:ascii="Cambria Math" w:hAnsi="Cambria Math" w:eastAsia="Cambria Math" w:cs="Cambria Math"/>
                </w:rPr>
                <m:t>}=min\leqft{1,</m:t>
              </m:r>
              <m:f>
                <m:fPr/>
                <m:num>
                  <m:sSub>
                    <m:sSubPr/>
                    <m:e>
                      <m:r>
                        <m:rPr>
                          <m:sty m:val="p"/>
                        </m:rPr>
                        <w:rPr>
                          <w:rFonts w:ascii="Cambria Math" w:hAnsi="Cambria Math" w:eastAsia="Cambria Math" w:cs="Cambria Math"/>
                        </w:rPr>
                        <m:t>N</m:t>
                      </m:r>
                    </m:e>
                    <m:sub>
                      <m:r>
                        <m:rPr>
                          <m:sty m:val="p"/>
                        </m:rPr>
                        <w:rPr>
                          <w:rFonts w:ascii="Cambria Math" w:hAnsi="Cambria Math" w:eastAsia="Cambria Math" w:cs="Cambria Math"/>
                        </w:rPr>
                        <m:t>max</m:t>
                      </m:r>
                    </m:sub>
                  </m:sSub>
                </m:num>
                <m:den>
                  <m:r>
                    <m:rPr>
                      <m:sty m:val="p"/>
                    </m:rPr>
                    <w:rPr>
                      <w:rFonts w:ascii="Cambria Math" w:hAnsi="Cambria Math" w:eastAsia="Cambria Math" w:cs="Cambria Math"/>
                    </w:rPr>
                    <m:t>n</m:t>
                  </m:r>
                </m:den>
              </m:f>
              <m:r>
                <m:rPr>
                  <m:sty m:val="p"/>
                </m:rPr>
                <w:rPr>
                  <w:rFonts w:ascii="Cambria Math" w:hAnsi="Cambria Math" w:eastAsia="Cambria Math" w:cs="Cambria Math"/>
                </w:rPr>
                <m:t>}</m:t>
              </m:r>
              <m:r>
                <m:rPr>
                  <m:sty m:val="p"/>
                </m:rPr>
                <w:rPr>
                  <w:rFonts w:hint="default" w:ascii="Cambria Math" w:hAnsi="Cambria Math" w:cs="Cambria Math"/>
                  <w:lang w:val="en-US" w:eastAsia="zh-CN"/>
                </w:rPr>
                <m:t>#</m:t>
              </m:r>
              <m:r>
                <m:rPr>
                  <m:sty m:val="p"/>
                </m:rPr>
                <w:rPr>
                  <w:rFonts w:ascii="Cambria Math" w:hAnsi="Cambria Math" w:eastAsia="Cambria Math" w:cs="Cambria Math"/>
                </w:rPr>
                <m:t>(10)</m:t>
              </m:r>
              <m:ctrlPr>
                <m:rPr/>
                <w:rPr>
                  <w:rFonts w:hAnsi="Cambria Math" w:eastAsia="Cambria Math" w:cs="Cambria Math"/>
                  <w:b w:val="0"/>
                  <w:i w:val="0"/>
                </w:rPr>
              </m:ctrlPr>
            </m:e>
          </m:eqArr>
        </m:oMath>
      </m:oMathPara>
    </w:p>
    <w:p w14:paraId="518837CD">
      <w:pPr>
        <w:spacing w:after="120" w:line="276" w:lineRule="auto"/>
      </w:pPr>
      <w:r>
        <w:rPr>
          <w:rFonts w:ascii="宋体" w:hAnsi="宋体" w:eastAsia="宋体"/>
          <w:sz w:val="21"/>
        </w:rPr>
        <w:t xml:space="preserve">进一步地，当存在多个互不重叠的管理区 </w:t>
      </w:r>
      <m:oMath>
        <m:sSub>
          <m:sSubPr/>
          <m:e>
            <m:r>
              <m:rPr>
                <m:sty m:val="p"/>
              </m:rPr>
              <w:rPr>
                <w:rFonts w:ascii="Cambria Math" w:hAnsi="Cambria Math" w:eastAsia="Cambria Math" w:cs="Cambria Math"/>
              </w:rPr>
              <m:t>Ω</m:t>
            </m:r>
          </m:e>
          <m:sub>
            <m:r>
              <m:rPr>
                <m:sty m:val="p"/>
              </m:rPr>
              <w:rPr>
                <w:rFonts w:ascii="Cambria Math" w:hAnsi="Cambria Math" w:eastAsia="Cambria Math" w:cs="Cambria Math"/>
              </w:rPr>
              <m:t>h</m:t>
            </m:r>
          </m:sub>
        </m:sSub>
      </m:oMath>
      <w:r>
        <w:rPr>
          <w:rFonts w:ascii="宋体" w:hAnsi="宋体" w:eastAsia="宋体"/>
          <w:sz w:val="21"/>
        </w:rPr>
        <w:t xml:space="preserve"> 时，各管理区分别计算分位阈值、养分等级和施肥量，再按区域指示函数合并：</w:t>
      </w:r>
    </w:p>
    <w:p w14:paraId="5191B7D6">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Q</m:t>
                  </m:r>
                </m:e>
                <m:sub>
                  <m:r>
                    <m:rPr>
                      <m:sty m:val="p"/>
                    </m:rPr>
                    <w:rPr>
                      <w:rFonts w:ascii="Cambria Math" w:hAnsi="Cambria Math" w:eastAsia="Cambria Math" w:cs="Cambria Math"/>
                    </w:rPr>
                    <m:t>s</m:t>
                  </m:r>
                </m:sub>
              </m:sSub>
              <m:r>
                <m:rPr>
                  <m:sty m:val="p"/>
                </m:rPr>
                <w:rPr>
                  <w:rFonts w:ascii="Cambria Math" w:hAnsi="Cambria Math" w:eastAsia="Cambria Math" w:cs="Cambria Math"/>
                </w:rPr>
                <m:t>(x)=</m:t>
              </m:r>
              <m:sSubSup>
                <m:sSubSupPr/>
                <m:e>
                  <m:r>
                    <m:rPr>
                      <m:sty m:val="p"/>
                    </m:rPr>
                    <w:rPr>
                      <w:rFonts w:ascii="Cambria Math" w:hAnsi="Cambria Math" w:eastAsia="Cambria Math" w:cs="Cambria Math"/>
                    </w:rPr>
                    <m:t>∑</m:t>
                  </m:r>
                </m:e>
                <m:sub>
                  <m:r>
                    <m:rPr>
                      <m:sty m:val="p"/>
                    </m:rPr>
                    <w:rPr>
                      <w:rFonts w:ascii="Cambria Math" w:hAnsi="Cambria Math" w:eastAsia="Cambria Math" w:cs="Cambria Math"/>
                    </w:rPr>
                    <m:t>h=1</m:t>
                  </m:r>
                </m:sub>
                <m:sup>
                  <m:r>
                    <m:rPr>
                      <m:sty m:val="p"/>
                    </m:rPr>
                    <w:rPr>
                      <w:rFonts w:ascii="Cambria Math" w:hAnsi="Cambria Math" w:eastAsia="Cambria Math" w:cs="Cambria Math"/>
                    </w:rPr>
                    <m:t>H</m:t>
                  </m:r>
                </m:sup>
              </m:sSubSup>
              <m:sSub>
                <m:sSubPr/>
                <m:e>
                  <m:r>
                    <m:rPr>
                      <m:sty m:val="p"/>
                    </m:rPr>
                    <w:rPr>
                      <w:rFonts w:ascii="Cambria Math" w:hAnsi="Cambria Math" w:eastAsia="Cambria Math" w:cs="Cambria Math"/>
                    </w:rPr>
                    <m:t>J</m:t>
                  </m:r>
                </m:e>
                <m:sub>
                  <m:r>
                    <m:rPr>
                      <m:sty m:val="p"/>
                    </m:rPr>
                    <w:rPr>
                      <w:rFonts w:ascii="Cambria Math" w:hAnsi="Cambria Math" w:eastAsia="Cambria Math" w:cs="Cambria Math"/>
                    </w:rPr>
                    <m:t>h</m:t>
                  </m:r>
                </m:sub>
              </m:sSub>
              <m:r>
                <m:rPr>
                  <m:sty m:val="p"/>
                </m:rPr>
                <w:rPr>
                  <w:rFonts w:ascii="Cambria Math" w:hAnsi="Cambria Math" w:eastAsia="Cambria Math" w:cs="Cambria Math"/>
                </w:rPr>
                <m:t>(x)</m:t>
              </m:r>
              <m:sSub>
                <m:sSubPr/>
                <m:e>
                  <m:r>
                    <m:rPr>
                      <m:sty m:val="p"/>
                    </m:rPr>
                    <w:rPr>
                      <w:rFonts w:ascii="Cambria Math" w:hAnsi="Cambria Math" w:eastAsia="Cambria Math" w:cs="Cambria Math"/>
                    </w:rPr>
                    <m:t>Q</m:t>
                  </m:r>
                </m:e>
                <m:sub>
                  <m:r>
                    <m:rPr>
                      <m:sty m:val="p"/>
                    </m:rPr>
                    <w:rPr>
                      <w:rFonts w:ascii="Cambria Math" w:hAnsi="Cambria Math" w:eastAsia="Cambria Math" w:cs="Cambria Math"/>
                    </w:rPr>
                    <m:t>s,h</m:t>
                  </m:r>
                </m:sub>
              </m:sSub>
              <m:r>
                <m:rPr>
                  <m:sty m:val="p"/>
                </m:rPr>
                <w:rPr>
                  <w:rFonts w:ascii="Cambria Math" w:hAnsi="Cambria Math" w:eastAsia="Cambria Math" w:cs="Cambria Math"/>
                </w:rPr>
                <m:t>(x)</m:t>
              </m:r>
              <m:r>
                <m:rPr>
                  <m:sty m:val="p"/>
                </m:rPr>
                <w:rPr>
                  <w:rFonts w:hint="default" w:ascii="Cambria Math" w:hAnsi="Cambria Math" w:cs="Cambria Math"/>
                  <w:lang w:val="en-US" w:eastAsia="zh-CN"/>
                </w:rPr>
                <m:t>#</m:t>
              </m:r>
              <m:r>
                <m:rPr>
                  <m:sty m:val="p"/>
                </m:rPr>
                <w:rPr>
                  <w:rFonts w:ascii="Cambria Math" w:hAnsi="Cambria Math" w:eastAsia="Cambria Math" w:cs="Cambria Math"/>
                </w:rPr>
                <m:t>(11)</m:t>
              </m:r>
              <m:ctrlPr>
                <m:rPr/>
                <w:rPr>
                  <w:rFonts w:hAnsi="Cambria Math" w:eastAsia="Cambria Math" w:cs="Cambria Math"/>
                  <w:b w:val="0"/>
                  <w:i w:val="0"/>
                </w:rPr>
              </m:ctrlPr>
            </m:e>
          </m:eqArr>
        </m:oMath>
      </m:oMathPara>
    </w:p>
    <w:p w14:paraId="5B75AA90">
      <w:pPr>
        <w:spacing w:after="120" w:line="276" w:lineRule="auto"/>
      </w:pPr>
      <w:r>
        <w:rPr>
          <w:rFonts w:ascii="宋体" w:hAnsi="宋体" w:eastAsia="宋体"/>
          <w:sz w:val="21"/>
        </w:rPr>
        <w:t>进一步地，目标区域的总肥料质量为：</w:t>
      </w:r>
    </w:p>
    <w:p w14:paraId="787F8070">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r>
                <m:rPr>
                  <m:sty m:val="p"/>
                </m:rPr>
                <w:rPr>
                  <w:rFonts w:ascii="Cambria Math" w:hAnsi="Cambria Math" w:eastAsia="Cambria Math" w:cs="Cambria Math"/>
                </w:rPr>
                <m:t>M=</m:t>
              </m:r>
              <m:f>
                <m:fPr/>
                <m:num>
                  <m:sSup>
                    <m:sSupPr/>
                    <m:e>
                      <m:r>
                        <m:rPr>
                          <m:sty m:val="p"/>
                        </m:rPr>
                        <w:rPr>
                          <w:rFonts w:ascii="Cambria Math" w:hAnsi="Cambria Math" w:eastAsia="Cambria Math" w:cs="Cambria Math"/>
                        </w:rPr>
                        <m:t>R</m:t>
                      </m:r>
                    </m:e>
                    <m:sup>
                      <m:r>
                        <m:rPr>
                          <m:sty m:val="p"/>
                        </m:rPr>
                        <w:rPr>
                          <w:rFonts w:ascii="Cambria Math" w:hAnsi="Cambria Math" w:eastAsia="Cambria Math" w:cs="Cambria Math"/>
                        </w:rPr>
                        <m:t>2</m:t>
                      </m:r>
                    </m:sup>
                  </m:sSup>
                </m:num>
                <m:den>
                  <m:r>
                    <m:rPr>
                      <m:sty m:val="p"/>
                    </m:rPr>
                    <w:rPr>
                      <w:rFonts w:ascii="Cambria Math" w:hAnsi="Cambria Math" w:eastAsia="Cambria Math" w:cs="Cambria Math"/>
                    </w:rPr>
                    <m:t>666.6667</m:t>
                  </m:r>
                </m:den>
              </m:f>
              <m:sSub>
                <m:sSubPr/>
                <m:e>
                  <m:r>
                    <m:rPr>
                      <m:sty m:val="p"/>
                    </m:rPr>
                    <w:rPr>
                      <w:rFonts w:ascii="Cambria Math" w:hAnsi="Cambria Math" w:eastAsia="Cambria Math" w:cs="Cambria Math"/>
                    </w:rPr>
                    <m:t>∑</m:t>
                  </m:r>
                </m:e>
                <m:sub>
                  <m:r>
                    <m:rPr>
                      <m:sty m:val="p"/>
                    </m:rPr>
                    <w:rPr>
                      <w:rFonts w:ascii="Cambria Math" w:hAnsi="Cambria Math" w:eastAsia="Cambria Math" w:cs="Cambria Math"/>
                    </w:rPr>
                    <m:t>(u,v)∈</m:t>
                  </m:r>
                  <m:sSub>
                    <m:sSubPr/>
                    <m:e>
                      <m:r>
                        <m:rPr>
                          <m:sty m:val="p"/>
                        </m:rPr>
                        <w:rPr>
                          <w:rFonts w:ascii="Cambria Math" w:hAnsi="Cambria Math" w:eastAsia="Cambria Math" w:cs="Cambria Math"/>
                        </w:rPr>
                        <m:t>V</m:t>
                      </m:r>
                    </m:e>
                    <m:sub>
                      <m:r>
                        <m:rPr>
                          <m:sty m:val="p"/>
                        </m:rPr>
                        <w:rPr>
                          <w:rFonts w:ascii="Cambria Math" w:hAnsi="Cambria Math" w:eastAsia="Cambria Math" w:cs="Cambria Math"/>
                        </w:rPr>
                        <m:t>G</m:t>
                      </m:r>
                    </m:sub>
                  </m:sSub>
                </m:sub>
              </m:sSub>
              <m:sSub>
                <m:sSubPr/>
                <m:e>
                  <m:r>
                    <m:rPr>
                      <m:sty m:val="p"/>
                    </m:rPr>
                    <w:rPr>
                      <w:rFonts w:ascii="Cambria Math" w:hAnsi="Cambria Math" w:eastAsia="Cambria Math" w:cs="Cambria Math"/>
                    </w:rPr>
                    <m:t>P</m:t>
                  </m:r>
                </m:e>
                <m:sub>
                  <m:r>
                    <m:rPr>
                      <m:sty m:val="p"/>
                    </m:rPr>
                    <w:rPr>
                      <w:rFonts w:ascii="Cambria Math" w:hAnsi="Cambria Math" w:eastAsia="Cambria Math" w:cs="Cambria Math"/>
                    </w:rPr>
                    <m:t>s</m:t>
                  </m:r>
                </m:sub>
              </m:sSub>
              <m:r>
                <m:rPr>
                  <m:sty m:val="p"/>
                </m:rPr>
                <w:rPr>
                  <w:rFonts w:ascii="Cambria Math" w:hAnsi="Cambria Math" w:eastAsia="Cambria Math" w:cs="Cambria Math"/>
                </w:rPr>
                <m:t>(u,v)</m:t>
              </m:r>
              <m:r>
                <m:rPr>
                  <m:sty m:val="p"/>
                </m:rPr>
                <w:rPr>
                  <w:rFonts w:hint="default" w:ascii="Cambria Math" w:hAnsi="Cambria Math" w:cs="Cambria Math"/>
                  <w:lang w:val="en-US" w:eastAsia="zh-CN"/>
                </w:rPr>
                <m:t>#</m:t>
              </m:r>
              <m:r>
                <m:rPr>
                  <m:sty m:val="p"/>
                </m:rPr>
                <w:rPr>
                  <w:rFonts w:ascii="Cambria Math" w:hAnsi="Cambria Math" w:eastAsia="Cambria Math" w:cs="Cambria Math"/>
                </w:rPr>
                <m:t>(12)</m:t>
              </m:r>
              <m:ctrlPr>
                <m:rPr/>
                <w:rPr>
                  <w:rFonts w:hAnsi="Cambria Math" w:eastAsia="Cambria Math" w:cs="Cambria Math"/>
                  <w:b w:val="0"/>
                  <w:i w:val="0"/>
                </w:rPr>
              </m:ctrlPr>
            </m:e>
          </m:eqArr>
        </m:oMath>
      </m:oMathPara>
    </w:p>
    <w:p w14:paraId="3536A3AC">
      <w:pPr>
        <w:spacing w:after="120" w:line="276" w:lineRule="auto"/>
      </w:pPr>
      <w:r>
        <w:rPr>
          <w:rFonts w:ascii="宋体" w:hAnsi="宋体" w:eastAsia="宋体"/>
          <w:sz w:val="21"/>
        </w:rPr>
        <w:t>其中，</w:t>
      </w:r>
      <m:oMath>
        <m:sSub>
          <m:sSubPr/>
          <m:e>
            <m:r>
              <m:rPr>
                <m:sty m:val="p"/>
              </m:rPr>
              <w:rPr>
                <w:rFonts w:ascii="Cambria Math" w:hAnsi="Cambria Math" w:eastAsia="Cambria Math" w:cs="Cambria Math"/>
              </w:rPr>
              <m:t>V</m:t>
            </m:r>
          </m:e>
          <m:sub>
            <m:r>
              <m:rPr>
                <m:sty m:val="p"/>
              </m:rPr>
              <w:rPr>
                <w:rFonts w:ascii="Cambria Math" w:hAnsi="Cambria Math" w:eastAsia="Cambria Math" w:cs="Cambria Math"/>
              </w:rPr>
              <m:t>G</m:t>
            </m:r>
          </m:sub>
        </m:sSub>
      </m:oMath>
      <w:r>
        <w:rPr>
          <w:rFonts w:ascii="宋体" w:hAnsi="宋体" w:eastAsia="宋体"/>
          <w:sz w:val="21"/>
        </w:rPr>
        <w:t xml:space="preserve"> 为有效目标处方格集合，单位面积施肥量采用kg/亩时，</w:t>
      </w:r>
      <m:oMath>
        <m:r>
          <m:rPr>
            <m:sty m:val="p"/>
          </m:rPr>
          <w:rPr>
            <w:rFonts w:ascii="Cambria Math" w:hAnsi="Cambria Math" w:eastAsia="Cambria Math" w:cs="Cambria Math"/>
          </w:rPr>
          <m:t>M</m:t>
        </m:r>
      </m:oMath>
      <w:r>
        <w:rPr>
          <w:rFonts w:ascii="宋体" w:hAnsi="宋体" w:eastAsia="宋体"/>
          <w:sz w:val="21"/>
        </w:rPr>
        <w:t xml:space="preserve"> 的单位为kg。</w:t>
      </w:r>
    </w:p>
    <w:p w14:paraId="602999F0">
      <w:pPr>
        <w:pStyle w:val="5"/>
      </w:pPr>
      <w:r>
        <w:rPr>
          <w:rFonts w:ascii="宋体" w:hAnsi="宋体" w:eastAsia="宋体"/>
        </w:rPr>
        <w:t>有益效果</w:t>
      </w:r>
    </w:p>
    <w:p w14:paraId="7B3634E6">
      <w:pPr>
        <w:spacing w:after="120" w:line="276" w:lineRule="auto"/>
      </w:pPr>
      <w:r>
        <w:rPr>
          <w:rFonts w:ascii="宋体" w:hAnsi="宋体" w:eastAsia="宋体"/>
          <w:sz w:val="21"/>
        </w:rPr>
        <w:t>本发明按生育期成对选择植被指数函数和诊断函数，使不同阶段的光谱响应与诊断指标明确对应；通过当前诊断范围的分位数形成养分等级，能够适应全田或不同管理区的实际分布；通过基准等级、基准施肥量和等级变化系数形成可复算的施肥量关系；通过真实地面距离换算和重叠面积加权平均，使处方图的每个目标格具有固定地面尺度，并避免无效像元稀释有效施肥量。</w:t>
      </w:r>
    </w:p>
    <w:p w14:paraId="1B49020B">
      <w:pPr>
        <w:pStyle w:val="4"/>
      </w:pPr>
      <w:r>
        <w:rPr>
          <w:rFonts w:ascii="黑体" w:hAnsi="黑体" w:eastAsia="黑体"/>
        </w:rPr>
        <w:t>附图说明</w:t>
      </w:r>
    </w:p>
    <w:p w14:paraId="60F5C201">
      <w:pPr>
        <w:spacing w:after="120" w:line="276" w:lineRule="auto"/>
      </w:pPr>
      <w:r>
        <w:rPr>
          <w:rFonts w:ascii="宋体" w:hAnsi="宋体" w:eastAsia="宋体"/>
          <w:sz w:val="21"/>
        </w:rPr>
        <w:t>图1为水稻养分遥感诊断公式关系示意图。</w:t>
      </w:r>
    </w:p>
    <w:p w14:paraId="0A6EBE63">
      <w:pPr>
        <w:spacing w:after="120" w:line="276" w:lineRule="auto"/>
      </w:pPr>
      <w:r>
        <w:rPr>
          <w:rFonts w:ascii="宋体" w:hAnsi="宋体" w:eastAsia="宋体"/>
          <w:sz w:val="21"/>
        </w:rPr>
        <w:t>图2为水稻无人机施肥处方图计算关系示意图。</w:t>
      </w:r>
    </w:p>
    <w:p w14:paraId="021C4767">
      <w:pPr>
        <w:pStyle w:val="4"/>
      </w:pPr>
      <w:r>
        <w:rPr>
          <w:rFonts w:ascii="黑体" w:hAnsi="黑体" w:eastAsia="黑体"/>
        </w:rPr>
        <w:t>具体实施方式</w:t>
      </w:r>
    </w:p>
    <w:p w14:paraId="51A9E657">
      <w:pPr>
        <w:spacing w:after="120" w:line="276" w:lineRule="auto"/>
      </w:pPr>
      <w:r>
        <w:rPr>
          <w:rFonts w:ascii="宋体" w:hAnsi="宋体" w:eastAsia="宋体"/>
          <w:sz w:val="21"/>
        </w:rPr>
        <w:t>下面结合附图和实施例对本发明作进一步说明。以下实施例用于解释本发明，并不用于限制本发明的保护范围。</w:t>
      </w:r>
    </w:p>
    <w:p w14:paraId="0E5CD6FB">
      <w:pPr>
        <w:pStyle w:val="5"/>
      </w:pPr>
      <w:r>
        <w:rPr>
          <w:rFonts w:ascii="宋体" w:hAnsi="宋体" w:eastAsia="宋体"/>
        </w:rPr>
        <w:t>第一种实施方式</w:t>
      </w:r>
    </w:p>
    <w:p w14:paraId="06D353A9">
      <w:pPr>
        <w:spacing w:after="120" w:line="276" w:lineRule="auto"/>
      </w:pPr>
      <w:r>
        <w:rPr>
          <w:rFonts w:ascii="宋体" w:hAnsi="宋体" w:eastAsia="宋体"/>
          <w:sz w:val="21"/>
        </w:rPr>
        <w:t>如图1和图2所示，本实施方式以分蘖期水稻为例说明养分诊断和处方图计算。</w:t>
      </w:r>
    </w:p>
    <w:p w14:paraId="35D98B2C">
      <w:pPr>
        <w:spacing w:after="120" w:line="276" w:lineRule="auto"/>
      </w:pPr>
      <w:r>
        <w:rPr>
          <w:rFonts w:ascii="宋体" w:hAnsi="宋体" w:eastAsia="宋体"/>
          <w:sz w:val="21"/>
        </w:rPr>
        <w:t xml:space="preserve">获取同一水稻田的绿光、红光和近红外单波段正射影像。各影像应具有相同的宽度、高度、坐标参考和仿射变换。设三路反射率分别为 </w:t>
      </w:r>
      <m:oMath>
        <m:sSub>
          <m:sSubPr/>
          <m:e>
            <m:r>
              <m:rPr>
                <m:sty m:val="p"/>
              </m:rPr>
              <w:rPr>
                <w:rFonts w:ascii="Cambria Math" w:hAnsi="Cambria Math" w:eastAsia="Cambria Math" w:cs="Cambria Math"/>
              </w:rPr>
              <m:t>B</m:t>
            </m:r>
          </m:e>
          <m:sub>
            <m:r>
              <m:rPr>
                <m:sty m:val="p"/>
              </m:rPr>
              <w:rPr>
                <w:rFonts w:ascii="Cambria Math" w:hAnsi="Cambria Math" w:eastAsia="Cambria Math" w:cs="Cambria Math"/>
              </w:rPr>
              <m:t>2</m:t>
            </m:r>
          </m:sub>
        </m:sSub>
      </m:oMath>
      <w:r>
        <w:rPr>
          <w:rFonts w:ascii="宋体" w:hAnsi="宋体" w:eastAsia="宋体"/>
          <w:sz w:val="21"/>
        </w:rPr>
        <w:t>、</w:t>
      </w:r>
      <m:oMath>
        <m:sSub>
          <m:sSubPr/>
          <m:e>
            <m:r>
              <m:rPr>
                <m:sty m:val="p"/>
              </m:rPr>
              <w:rPr>
                <w:rFonts w:ascii="Cambria Math" w:hAnsi="Cambria Math" w:eastAsia="Cambria Math" w:cs="Cambria Math"/>
              </w:rPr>
              <m:t>B</m:t>
            </m:r>
          </m:e>
          <m:sub>
            <m:r>
              <m:rPr>
                <m:sty m:val="p"/>
              </m:rPr>
              <w:rPr>
                <w:rFonts w:ascii="Cambria Math" w:hAnsi="Cambria Math" w:eastAsia="Cambria Math" w:cs="Cambria Math"/>
              </w:rPr>
              <m:t>3</m:t>
            </m:r>
          </m:sub>
        </m:sSub>
      </m:oMath>
      <w:r>
        <w:rPr>
          <w:rFonts w:ascii="宋体" w:hAnsi="宋体" w:eastAsia="宋体"/>
          <w:sz w:val="21"/>
        </w:rPr>
        <w:t xml:space="preserve"> 和 </w:t>
      </w:r>
      <m:oMath>
        <m:sSub>
          <m:sSubPr/>
          <m:e>
            <m:r>
              <m:rPr>
                <m:sty m:val="p"/>
              </m:rPr>
              <w:rPr>
                <w:rFonts w:ascii="Cambria Math" w:hAnsi="Cambria Math" w:eastAsia="Cambria Math" w:cs="Cambria Math"/>
              </w:rPr>
              <m:t>B</m:t>
            </m:r>
          </m:e>
          <m:sub>
            <m:r>
              <m:rPr>
                <m:sty m:val="p"/>
              </m:rPr>
              <w:rPr>
                <w:rFonts w:ascii="Cambria Math" w:hAnsi="Cambria Math" w:eastAsia="Cambria Math" w:cs="Cambria Math"/>
              </w:rPr>
              <m:t>4</m:t>
            </m:r>
          </m:sub>
        </m:sSub>
      </m:oMath>
      <w:r>
        <w:rPr>
          <w:rFonts w:ascii="宋体" w:hAnsi="宋体" w:eastAsia="宋体"/>
          <w:sz w:val="21"/>
        </w:rPr>
        <w:t>。对于输入无效像元或任一波段无效的像元，不计算诊断值。</w:t>
      </w:r>
    </w:p>
    <w:p w14:paraId="56E639AE">
      <w:pPr>
        <w:spacing w:after="120" w:line="276" w:lineRule="auto"/>
      </w:pPr>
      <w:r>
        <w:rPr>
          <w:rFonts w:ascii="宋体" w:hAnsi="宋体" w:eastAsia="宋体"/>
          <w:sz w:val="21"/>
        </w:rPr>
        <w:t>选择分蘖期后，按下式计算优化土壤调节植被指数：</w:t>
      </w:r>
    </w:p>
    <w:p w14:paraId="242DE206">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r>
                <m:rPr>
                  <m:sty m:val="p"/>
                </m:rPr>
                <w:rPr>
                  <w:rFonts w:ascii="Cambria Math" w:hAnsi="Cambria Math" w:eastAsia="Cambria Math" w:cs="Cambria Math"/>
                </w:rPr>
                <m:t>OSAVI=1.16</m:t>
              </m:r>
              <m:f>
                <m:fPr/>
                <m:num>
                  <m:sSub>
                    <m:sSubPr/>
                    <m:e>
                      <m:r>
                        <m:rPr>
                          <m:sty m:val="p"/>
                        </m:rPr>
                        <w:rPr>
                          <w:rFonts w:ascii="Cambria Math" w:hAnsi="Cambria Math" w:eastAsia="Cambria Math" w:cs="Cambria Math"/>
                        </w:rPr>
                        <m:t>B</m:t>
                      </m:r>
                    </m:e>
                    <m:sub>
                      <m:r>
                        <m:rPr>
                          <m:sty m:val="p"/>
                        </m:rPr>
                        <w:rPr>
                          <w:rFonts w:ascii="Cambria Math" w:hAnsi="Cambria Math" w:eastAsia="Cambria Math" w:cs="Cambria Math"/>
                        </w:rPr>
                        <m:t>4</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B</m:t>
                      </m:r>
                    </m:e>
                    <m:sub>
                      <m:r>
                        <m:rPr>
                          <m:sty m:val="p"/>
                        </m:rPr>
                        <w:rPr>
                          <w:rFonts w:ascii="Cambria Math" w:hAnsi="Cambria Math" w:eastAsia="Cambria Math" w:cs="Cambria Math"/>
                        </w:rPr>
                        <m:t>3</m:t>
                      </m:r>
                    </m:sub>
                  </m:sSub>
                </m:num>
                <m:den>
                  <m:sSub>
                    <m:sSubPr/>
                    <m:e>
                      <m:r>
                        <m:rPr>
                          <m:sty m:val="p"/>
                        </m:rPr>
                        <w:rPr>
                          <w:rFonts w:ascii="Cambria Math" w:hAnsi="Cambria Math" w:eastAsia="Cambria Math" w:cs="Cambria Math"/>
                        </w:rPr>
                        <m:t>B</m:t>
                      </m:r>
                    </m:e>
                    <m:sub>
                      <m:r>
                        <m:rPr>
                          <m:sty m:val="p"/>
                        </m:rPr>
                        <w:rPr>
                          <w:rFonts w:ascii="Cambria Math" w:hAnsi="Cambria Math" w:eastAsia="Cambria Math" w:cs="Cambria Math"/>
                        </w:rPr>
                        <m:t>4</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B</m:t>
                      </m:r>
                    </m:e>
                    <m:sub>
                      <m:r>
                        <m:rPr>
                          <m:sty m:val="p"/>
                        </m:rPr>
                        <w:rPr>
                          <w:rFonts w:ascii="Cambria Math" w:hAnsi="Cambria Math" w:eastAsia="Cambria Math" w:cs="Cambria Math"/>
                        </w:rPr>
                        <m:t>3</m:t>
                      </m:r>
                    </m:sub>
                  </m:sSub>
                  <m:r>
                    <m:rPr>
                      <m:sty m:val="p"/>
                    </m:rPr>
                    <w:rPr>
                      <w:rFonts w:ascii="Cambria Math" w:hAnsi="Cambria Math" w:eastAsia="Cambria Math" w:cs="Cambria Math"/>
                    </w:rPr>
                    <m:t>+0.16</m:t>
                  </m:r>
                </m:den>
              </m:f>
              <m:r>
                <m:rPr>
                  <m:sty m:val="p"/>
                </m:rPr>
                <w:rPr>
                  <w:rFonts w:hint="default" w:ascii="Cambria Math" w:hAnsi="Cambria Math"/>
                  <w:lang w:val="en-US" w:eastAsia="zh-CN"/>
                </w:rPr>
                <m:t>#</m:t>
              </m:r>
              <m:r>
                <m:rPr>
                  <m:sty m:val="p"/>
                </m:rPr>
                <w:rPr>
                  <w:rFonts w:ascii="Cambria Math" w:hAnsi="Cambria Math" w:eastAsia="Cambria Math" w:cs="Cambria Math"/>
                </w:rPr>
                <m:t>(13)</m:t>
              </m:r>
              <m:ctrlPr>
                <m:rPr/>
                <w:rPr>
                  <w:rFonts w:hAnsi="Cambria Math" w:eastAsia="Cambria Math" w:cs="Cambria Math"/>
                  <w:b w:val="0"/>
                  <w:i w:val="0"/>
                </w:rPr>
              </m:ctrlPr>
            </m:e>
          </m:eqArr>
        </m:oMath>
      </m:oMathPara>
    </w:p>
    <w:p w14:paraId="19E582B4">
      <w:pPr>
        <w:spacing w:after="120" w:line="276" w:lineRule="auto"/>
      </w:pPr>
      <w:r>
        <w:rPr>
          <w:rFonts w:ascii="宋体" w:hAnsi="宋体" w:eastAsia="宋体"/>
          <w:sz w:val="21"/>
        </w:rPr>
        <w:t>再计算地上生物量诊断值：</w:t>
      </w:r>
    </w:p>
    <w:p w14:paraId="7BDD8515">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D</m:t>
                  </m:r>
                </m:e>
                <m:sub>
                  <m:r>
                    <m:rPr>
                      <m:sty m:val="p"/>
                    </m:rPr>
                    <w:rPr>
                      <w:rFonts w:ascii="Cambria Math" w:hAnsi="Cambria Math" w:eastAsia="Cambria Math" w:cs="Cambria Math"/>
                    </w:rPr>
                    <m:t>s</m:t>
                  </m:r>
                </m:sub>
              </m:sSub>
              <m:r>
                <m:rPr>
                  <m:sty m:val="p"/>
                </m:rPr>
                <w:rPr>
                  <w:rFonts w:ascii="Cambria Math" w:hAnsi="Cambria Math" w:eastAsia="Cambria Math" w:cs="Cambria Math"/>
                </w:rPr>
                <m:t>=2845.6OSAV</m:t>
              </m:r>
              <m:sSup>
                <m:sSupPr/>
                <m:e>
                  <m:r>
                    <m:rPr>
                      <m:sty m:val="p"/>
                    </m:rPr>
                    <w:rPr>
                      <w:rFonts w:ascii="Cambria Math" w:hAnsi="Cambria Math" w:eastAsia="Cambria Math" w:cs="Cambria Math"/>
                    </w:rPr>
                    <m:t>I</m:t>
                  </m:r>
                </m:e>
                <m:sup>
                  <m:r>
                    <m:rPr>
                      <m:sty m:val="p"/>
                    </m:rPr>
                    <w:rPr>
                      <w:rFonts w:ascii="Cambria Math" w:hAnsi="Cambria Math" w:eastAsia="Cambria Math" w:cs="Cambria Math"/>
                    </w:rPr>
                    <m:t>2</m:t>
                  </m:r>
                </m:sup>
              </m:sSup>
              <m:r>
                <m:rPr>
                  <m:sty m:val="p"/>
                </m:rPr>
                <w:rPr>
                  <w:rFonts w:ascii="Cambria Math" w:hAnsi="Cambria Math" w:eastAsia="Cambria Math" w:cs="Cambria Math"/>
                </w:rPr>
                <m:t>−2953.2OSAVI+987.5</m:t>
              </m:r>
              <m:r>
                <m:rPr>
                  <m:sty m:val="p"/>
                </m:rPr>
                <w:rPr>
                  <w:rFonts w:hint="default" w:ascii="Cambria Math" w:hAnsi="Cambria Math" w:cs="Cambria Math"/>
                  <w:lang w:val="en-US" w:eastAsia="zh-CN"/>
                </w:rPr>
                <m:t>#</m:t>
              </m:r>
              <m:r>
                <m:rPr>
                  <m:sty m:val="p"/>
                </m:rPr>
                <w:rPr>
                  <w:rFonts w:ascii="Cambria Math" w:hAnsi="Cambria Math" w:eastAsia="Cambria Math" w:cs="Cambria Math"/>
                </w:rPr>
                <m:t>(14)</m:t>
              </m:r>
              <m:ctrlPr>
                <m:rPr/>
                <w:rPr>
                  <w:rFonts w:hAnsi="Cambria Math" w:eastAsia="Cambria Math" w:cs="Cambria Math"/>
                  <w:b w:val="0"/>
                  <w:i w:val="0"/>
                </w:rPr>
              </m:ctrlPr>
            </m:e>
          </m:eqArr>
        </m:oMath>
      </m:oMathPara>
    </w:p>
    <w:p w14:paraId="44845DE5">
      <w:pPr>
        <w:spacing w:after="120" w:line="276" w:lineRule="auto"/>
      </w:pPr>
      <w:r>
        <w:rPr>
          <w:rFonts w:ascii="宋体" w:hAnsi="宋体" w:eastAsia="宋体"/>
          <w:sz w:val="21"/>
        </w:rPr>
        <w:t xml:space="preserve">为避免分母为零，植被指数计算采用安全除法，分母的绝对下限取 </w:t>
      </w:r>
      <m:oMath>
        <m:sSup>
          <m:sSupPr/>
          <m:e>
            <m:r>
              <m:rPr>
                <m:sty m:val="p"/>
              </m:rPr>
              <w:rPr>
                <w:rFonts w:ascii="Cambria Math" w:hAnsi="Cambria Math" w:eastAsia="Cambria Math" w:cs="Cambria Math"/>
              </w:rPr>
              <m:t>10</m:t>
            </m:r>
          </m:e>
          <m:sup>
            <m:r>
              <m:rPr>
                <m:sty m:val="p"/>
              </m:rPr>
              <w:rPr>
                <w:rFonts w:ascii="Cambria Math" w:hAnsi="Cambria Math" w:eastAsia="Cambria Math" w:cs="Cambria Math"/>
              </w:rPr>
              <m:t>−6</m:t>
            </m:r>
          </m:sup>
        </m:sSup>
      </m:oMath>
      <w:r>
        <w:rPr>
          <w:rFonts w:ascii="宋体" w:hAnsi="宋体" w:eastAsia="宋体"/>
          <w:sz w:val="21"/>
        </w:rPr>
        <w:t>。对全田有效诊断值进行统计。当有效值数量不超过2,000,000时使用全部有效值；超过该数量时，以20240101为随机种子执行蓄水池抽样，使每个已遍历有效值具有相同保留概率。</w:t>
      </w:r>
    </w:p>
    <w:p w14:paraId="2CF228C1">
      <w:pPr>
        <w:spacing w:after="120" w:line="276" w:lineRule="auto"/>
      </w:pPr>
      <w:r>
        <w:rPr>
          <w:rFonts w:ascii="宋体" w:hAnsi="宋体" w:eastAsia="宋体"/>
          <w:sz w:val="21"/>
        </w:rPr>
        <w:t xml:space="preserve">对诊断样本分别求0.1、0.3、0.7、0.9和1.0分位值，依次记为 </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s,1</m:t>
            </m:r>
          </m:sub>
        </m:sSub>
      </m:oMath>
      <w:r>
        <w:rPr>
          <w:rFonts w:ascii="宋体" w:hAnsi="宋体" w:eastAsia="宋体"/>
          <w:sz w:val="21"/>
        </w:rPr>
        <w:t xml:space="preserve"> 至 </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s,5</m:t>
            </m:r>
          </m:sub>
        </m:sSub>
      </m:oMath>
      <w:r>
        <w:rPr>
          <w:rFonts w:ascii="宋体" w:hAnsi="宋体" w:eastAsia="宋体"/>
          <w:sz w:val="21"/>
        </w:rPr>
        <w:t xml:space="preserve">。养分等级1覆盖不大于 </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s,1</m:t>
            </m:r>
          </m:sub>
        </m:sSub>
      </m:oMath>
      <w:r>
        <w:rPr>
          <w:rFonts w:ascii="宋体" w:hAnsi="宋体" w:eastAsia="宋体"/>
          <w:sz w:val="21"/>
        </w:rPr>
        <w:t xml:space="preserve"> 的有效诊断值；等级2至等级4分别采用前一阈值开区间和当前阈值闭区间；等级5覆盖大于 </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s,4</m:t>
            </m:r>
          </m:sub>
        </m:sSub>
      </m:oMath>
      <w:r>
        <w:rPr>
          <w:rFonts w:ascii="宋体" w:hAnsi="宋体" w:eastAsia="宋体"/>
          <w:sz w:val="21"/>
        </w:rPr>
        <w:t xml:space="preserve"> 的有效诊断值。</w:t>
      </w:r>
    </w:p>
    <w:p w14:paraId="02CA83E3">
      <w:pPr>
        <w:spacing w:after="120" w:line="276" w:lineRule="auto"/>
      </w:pPr>
      <w:r>
        <w:rPr>
          <w:rFonts w:ascii="宋体" w:hAnsi="宋体" w:eastAsia="宋体"/>
          <w:sz w:val="21"/>
        </w:rPr>
        <w:t xml:space="preserve">取基准等级 </w:t>
      </w:r>
      <m:oMath>
        <m:r>
          <m:rPr>
            <m:sty m:val="p"/>
          </m:rPr>
          <w:rPr>
            <w:rFonts w:ascii="Cambria Math" w:hAnsi="Cambria Math" w:eastAsia="Cambria Math" w:cs="Cambria Math"/>
          </w:rPr>
          <m:t>b=3</m:t>
        </m:r>
      </m:oMath>
      <w:r>
        <w:rPr>
          <w:rFonts w:ascii="宋体" w:hAnsi="宋体" w:eastAsia="宋体"/>
          <w:sz w:val="21"/>
        </w:rPr>
        <w:t xml:space="preserve">、基准施肥量 </w:t>
      </w:r>
      <m:oMath>
        <m:sSub>
          <m:sSubPr/>
          <m:e>
            <m:r>
              <m:rPr>
                <m:sty m:val="p"/>
              </m:rPr>
              <w:rPr>
                <w:rFonts w:ascii="Cambria Math" w:hAnsi="Cambria Math" w:eastAsia="Cambria Math" w:cs="Cambria Math"/>
              </w:rPr>
              <m:t>Q</m:t>
            </m:r>
          </m:e>
          <m:sub>
            <m:r>
              <m:rPr>
                <m:sty m:val="p"/>
              </m:rPr>
              <w:rPr>
                <w:rFonts w:ascii="Cambria Math" w:hAnsi="Cambria Math" w:eastAsia="Cambria Math" w:cs="Cambria Math"/>
              </w:rPr>
              <m:t>b</m:t>
            </m:r>
          </m:sub>
        </m:sSub>
        <m:r>
          <m:rPr>
            <m:sty m:val="p"/>
          </m:rPr>
          <w:rPr>
            <w:rFonts w:ascii="Cambria Math" w:hAnsi="Cambria Math" w:eastAsia="Cambria Math" w:cs="Cambria Math"/>
          </w:rPr>
          <m:t>=10</m:t>
        </m:r>
      </m:oMath>
      <w:r>
        <w:rPr>
          <w:rFonts w:ascii="宋体" w:hAnsi="宋体" w:eastAsia="宋体"/>
          <w:sz w:val="21"/>
        </w:rPr>
        <w:t xml:space="preserve"> kg/亩、等级变化系数 </w:t>
      </w:r>
      <m:oMath>
        <m:r>
          <m:rPr>
            <m:sty m:val="p"/>
          </m:rPr>
          <w:rPr>
            <w:rFonts w:ascii="Cambria Math" w:hAnsi="Cambria Math" w:eastAsia="Cambria Math" w:cs="Cambria Math"/>
          </w:rPr>
          <m:t>k=0.025</m:t>
        </m:r>
      </m:oMath>
      <w:r>
        <w:rPr>
          <w:rFonts w:ascii="宋体" w:hAnsi="宋体" w:eastAsia="宋体"/>
          <w:sz w:val="21"/>
        </w:rPr>
        <w:t xml:space="preserve">。代入式（6），得到等级1至等级5的施肥量依次为10.5、10.25、10、9.75和9.5 kg/亩。该组数值仅为实施例；实际应用中可根据田间试验改变 </w:t>
      </w:r>
      <m:oMath>
        <m:sSub>
          <m:sSubPr/>
          <m:e>
            <m:r>
              <m:rPr>
                <m:sty m:val="p"/>
              </m:rPr>
              <w:rPr>
                <w:rFonts w:ascii="Cambria Math" w:hAnsi="Cambria Math" w:eastAsia="Cambria Math" w:cs="Cambria Math"/>
              </w:rPr>
              <m:t>Q</m:t>
            </m:r>
          </m:e>
          <m:sub>
            <m:r>
              <m:rPr>
                <m:sty m:val="p"/>
              </m:rPr>
              <w:rPr>
                <w:rFonts w:ascii="Cambria Math" w:hAnsi="Cambria Math" w:eastAsia="Cambria Math" w:cs="Cambria Math"/>
              </w:rPr>
              <m:t>b</m:t>
            </m:r>
          </m:sub>
        </m:sSub>
      </m:oMath>
      <w:r>
        <w:rPr>
          <w:rFonts w:ascii="宋体" w:hAnsi="宋体" w:eastAsia="宋体"/>
          <w:sz w:val="21"/>
        </w:rPr>
        <w:t>、</w:t>
      </w:r>
      <m:oMath>
        <m:r>
          <m:rPr>
            <m:sty m:val="p"/>
          </m:rPr>
          <w:rPr>
            <w:rFonts w:ascii="Cambria Math" w:hAnsi="Cambria Math" w:eastAsia="Cambria Math" w:cs="Cambria Math"/>
          </w:rPr>
          <m:t>b</m:t>
        </m:r>
      </m:oMath>
      <w:r>
        <w:rPr>
          <w:rFonts w:ascii="宋体" w:hAnsi="宋体" w:eastAsia="宋体"/>
          <w:sz w:val="21"/>
        </w:rPr>
        <w:t xml:space="preserve"> 和 </w:t>
      </w:r>
      <m:oMath>
        <m:r>
          <m:rPr>
            <m:sty m:val="p"/>
          </m:rPr>
          <w:rPr>
            <w:rFonts w:ascii="Cambria Math" w:hAnsi="Cambria Math" w:eastAsia="Cambria Math" w:cs="Cambria Math"/>
          </w:rPr>
          <m:t>k</m:t>
        </m:r>
      </m:oMath>
      <w:r>
        <w:rPr>
          <w:rFonts w:ascii="宋体" w:hAnsi="宋体" w:eastAsia="宋体"/>
          <w:sz w:val="21"/>
        </w:rPr>
        <w:t>，也可以用覆盖全部等级的逐级给定值替换式（6）。</w:t>
      </w:r>
    </w:p>
    <w:p w14:paraId="20EA1BA1">
      <w:pPr>
        <w:spacing w:after="120" w:line="276" w:lineRule="auto"/>
      </w:pPr>
      <w:r>
        <w:rPr>
          <w:rFonts w:ascii="宋体" w:hAnsi="宋体" w:eastAsia="宋体"/>
          <w:sz w:val="21"/>
        </w:rPr>
        <w:t xml:space="preserve">设目标处方格边长 </w:t>
      </w:r>
      <m:oMath>
        <m:r>
          <m:rPr>
            <m:sty m:val="p"/>
          </m:rPr>
          <w:rPr>
            <w:rFonts w:ascii="Cambria Math" w:hAnsi="Cambria Math" w:eastAsia="Cambria Math" w:cs="Cambria Math"/>
          </w:rPr>
          <m:t>R=1</m:t>
        </m:r>
      </m:oMath>
      <w:r>
        <w:rPr>
          <w:rFonts w:ascii="宋体" w:hAnsi="宋体" w:eastAsia="宋体"/>
          <w:sz w:val="21"/>
        </w:rPr>
        <w:t xml:space="preserve"> m。将影像中心坐标转换至覆盖该位置的通用横轴墨卡托投影分区，分别测量源坐标横向和纵向移动一个坐标单位对应的地面米数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x</m:t>
            </m:r>
          </m:sub>
        </m:sSub>
      </m:oMath>
      <w:r>
        <w:rPr>
          <w:rFonts w:ascii="宋体" w:hAnsi="宋体" w:eastAsia="宋体"/>
          <w:sz w:val="21"/>
        </w:rPr>
        <w:t xml:space="preserve"> 和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y</m:t>
            </m:r>
          </m:sub>
        </m:sSub>
      </m:oMath>
      <w:r>
        <w:rPr>
          <w:rFonts w:ascii="宋体" w:hAnsi="宋体" w:eastAsia="宋体"/>
          <w:sz w:val="21"/>
        </w:rPr>
        <w:t>，再按式（8）计算目标处方格在源坐标系中的横、纵尺寸。对每个目标处方格，按照其与有效源像元的重叠面积计算式（9），无效源像元不进入分子和分母，由此得到固定1 m×1 m地面尺度的施肥处方图。</w:t>
      </w:r>
    </w:p>
    <w:p w14:paraId="0FD5C251">
      <w:pPr>
        <w:pStyle w:val="5"/>
      </w:pPr>
      <w:r>
        <w:rPr>
          <w:rFonts w:ascii="宋体" w:hAnsi="宋体" w:eastAsia="宋体"/>
        </w:rPr>
        <w:t>表1 水稻各生育期的诊断模型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2653"/>
        <w:gridCol w:w="2916"/>
        <w:gridCol w:w="1949"/>
      </w:tblGrid>
      <w:tr w14:paraId="1C8B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7CB68AE4">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生育期</w:t>
            </w:r>
          </w:p>
        </w:tc>
        <w:tc>
          <w:tcPr>
            <w:tcW w:w="2653" w:type="dxa"/>
          </w:tcPr>
          <w:p w14:paraId="4C6CE870">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植被指数</w:t>
            </w:r>
          </w:p>
        </w:tc>
        <w:tc>
          <w:tcPr>
            <w:tcW w:w="2916" w:type="dxa"/>
          </w:tcPr>
          <w:p w14:paraId="272F68C4">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养分、长势或产量诊断函数</w:t>
            </w:r>
          </w:p>
        </w:tc>
        <w:tc>
          <w:tcPr>
            <w:tcW w:w="1949" w:type="dxa"/>
          </w:tcPr>
          <w:p w14:paraId="0F41F1DE">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等级分位点</w:t>
            </w:r>
          </w:p>
        </w:tc>
      </w:tr>
      <w:tr w14:paraId="1933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559EC7F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幼苗期</w:t>
            </w:r>
          </w:p>
        </w:tc>
        <w:tc>
          <w:tcPr>
            <w:tcW w:w="2653" w:type="dxa"/>
          </w:tcPr>
          <w:p w14:paraId="7E6F0270">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SAVI=1.10×(B4-B3)/(B4+B3+0.1)</w:t>
            </w:r>
          </w:p>
        </w:tc>
        <w:tc>
          <w:tcPr>
            <w:tcW w:w="2916" w:type="dxa"/>
          </w:tcPr>
          <w:p w14:paraId="4B2A3822">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D=95.7×SAVI+18.4</w:t>
            </w:r>
          </w:p>
        </w:tc>
        <w:tc>
          <w:tcPr>
            <w:tcW w:w="1949" w:type="dxa"/>
          </w:tcPr>
          <w:p w14:paraId="40586932">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0.1、0.3、0.7、0.9、1.0</w:t>
            </w:r>
          </w:p>
        </w:tc>
      </w:tr>
      <w:tr w14:paraId="4D83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41129FDE">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分蘖期</w:t>
            </w:r>
          </w:p>
        </w:tc>
        <w:tc>
          <w:tcPr>
            <w:tcW w:w="2653" w:type="dxa"/>
          </w:tcPr>
          <w:p w14:paraId="1FBC20D6">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OSAVI=1.16×(B4-B3)/(B4+B3+0.16)</w:t>
            </w:r>
          </w:p>
        </w:tc>
        <w:tc>
          <w:tcPr>
            <w:tcW w:w="2916" w:type="dxa"/>
          </w:tcPr>
          <w:p w14:paraId="6947830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D=2845.6×OSAVI²-2953.2×OSAVI+987.5</w:t>
            </w:r>
          </w:p>
        </w:tc>
        <w:tc>
          <w:tcPr>
            <w:tcW w:w="1949" w:type="dxa"/>
          </w:tcPr>
          <w:p w14:paraId="4695DEF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0.1、0.3、0.7、0.9、1.0</w:t>
            </w:r>
          </w:p>
        </w:tc>
      </w:tr>
      <w:tr w14:paraId="174D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54E2EF59">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拔节期</w:t>
            </w:r>
          </w:p>
        </w:tc>
        <w:tc>
          <w:tcPr>
            <w:tcW w:w="2653" w:type="dxa"/>
          </w:tcPr>
          <w:p w14:paraId="26E535A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同分蘖期OSAVI</w:t>
            </w:r>
          </w:p>
        </w:tc>
        <w:tc>
          <w:tcPr>
            <w:tcW w:w="2916" w:type="dxa"/>
          </w:tcPr>
          <w:p w14:paraId="7972FF65">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D=26.107^(2.6114×OSAVI)</w:t>
            </w:r>
          </w:p>
        </w:tc>
        <w:tc>
          <w:tcPr>
            <w:tcW w:w="1949" w:type="dxa"/>
          </w:tcPr>
          <w:p w14:paraId="74BB060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0.1、0.3、0.7、0.9、1.0</w:t>
            </w:r>
          </w:p>
        </w:tc>
      </w:tr>
      <w:tr w14:paraId="7665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0EF671C9">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孕穗期</w:t>
            </w:r>
          </w:p>
        </w:tc>
        <w:tc>
          <w:tcPr>
            <w:tcW w:w="2653" w:type="dxa"/>
          </w:tcPr>
          <w:p w14:paraId="7642A86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RVI=B4/B3</w:t>
            </w:r>
          </w:p>
        </w:tc>
        <w:tc>
          <w:tcPr>
            <w:tcW w:w="2916" w:type="dxa"/>
          </w:tcPr>
          <w:p w14:paraId="2F7111A0">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D=-0.7375×RVI+9.6073</w:t>
            </w:r>
          </w:p>
        </w:tc>
        <w:tc>
          <w:tcPr>
            <w:tcW w:w="1949" w:type="dxa"/>
          </w:tcPr>
          <w:p w14:paraId="5CF597CE">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0.1、0.3、0.7、0.9、1.0</w:t>
            </w:r>
          </w:p>
        </w:tc>
      </w:tr>
      <w:tr w14:paraId="1BF3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5E5248EE">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抽穗期</w:t>
            </w:r>
          </w:p>
        </w:tc>
        <w:tc>
          <w:tcPr>
            <w:tcW w:w="2653" w:type="dxa"/>
          </w:tcPr>
          <w:p w14:paraId="2B11FDF2">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NDVI=(B4-B3)/(B4+B3)</w:t>
            </w:r>
          </w:p>
        </w:tc>
        <w:tc>
          <w:tcPr>
            <w:tcW w:w="2916" w:type="dxa"/>
          </w:tcPr>
          <w:p w14:paraId="01EAED89">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D=2.8339×exp(1.3655×NDVI)</w:t>
            </w:r>
          </w:p>
        </w:tc>
        <w:tc>
          <w:tcPr>
            <w:tcW w:w="1949" w:type="dxa"/>
          </w:tcPr>
          <w:p w14:paraId="38C88F50">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0.1、0.3、0.7、0.9、1.0</w:t>
            </w:r>
          </w:p>
        </w:tc>
      </w:tr>
      <w:tr w14:paraId="7695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3AF0BB78">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扬花期</w:t>
            </w:r>
          </w:p>
        </w:tc>
        <w:tc>
          <w:tcPr>
            <w:tcW w:w="2653" w:type="dxa"/>
          </w:tcPr>
          <w:p w14:paraId="544978C7">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NRI=(B2-B3)/(B2+B3)</w:t>
            </w:r>
          </w:p>
        </w:tc>
        <w:tc>
          <w:tcPr>
            <w:tcW w:w="2916" w:type="dxa"/>
          </w:tcPr>
          <w:p w14:paraId="3CDBEF15">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D=-7.354×NRI+7.9181</w:t>
            </w:r>
          </w:p>
        </w:tc>
        <w:tc>
          <w:tcPr>
            <w:tcW w:w="1949" w:type="dxa"/>
          </w:tcPr>
          <w:p w14:paraId="4DA5D9B5">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0.1、0.3、0.7、0.9、1.0</w:t>
            </w:r>
          </w:p>
        </w:tc>
      </w:tr>
      <w:tr w14:paraId="681F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1FF26268">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成熟期前</w:t>
            </w:r>
          </w:p>
        </w:tc>
        <w:tc>
          <w:tcPr>
            <w:tcW w:w="2653" w:type="dxa"/>
          </w:tcPr>
          <w:p w14:paraId="6B3B3752">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DVI=B4-B3</w:t>
            </w:r>
          </w:p>
        </w:tc>
        <w:tc>
          <w:tcPr>
            <w:tcW w:w="2916" w:type="dxa"/>
          </w:tcPr>
          <w:p w14:paraId="5DBEB8AA">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D=0.3878×DVI-195.83</w:t>
            </w:r>
          </w:p>
        </w:tc>
        <w:tc>
          <w:tcPr>
            <w:tcW w:w="1949" w:type="dxa"/>
          </w:tcPr>
          <w:p w14:paraId="7E4E9D34">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0.25、0.6、0.9、1.0</w:t>
            </w:r>
          </w:p>
        </w:tc>
      </w:tr>
      <w:tr w14:paraId="064D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30DF68C0">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成熟期</w:t>
            </w:r>
          </w:p>
        </w:tc>
        <w:tc>
          <w:tcPr>
            <w:tcW w:w="2653" w:type="dxa"/>
          </w:tcPr>
          <w:p w14:paraId="1AC19A6B">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RVI=B4/B3</w:t>
            </w:r>
          </w:p>
        </w:tc>
        <w:tc>
          <w:tcPr>
            <w:tcW w:w="2916" w:type="dxa"/>
          </w:tcPr>
          <w:p w14:paraId="28D9ACFE">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D=-48.304×RVI²+518.11×RVI-528.44</w:t>
            </w:r>
          </w:p>
        </w:tc>
        <w:tc>
          <w:tcPr>
            <w:tcW w:w="1949" w:type="dxa"/>
          </w:tcPr>
          <w:p w14:paraId="5A499215">
            <w:pPr>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pPr>
            <w:r>
              <w:rPr>
                <w:rFonts w:ascii="宋体" w:hAnsi="宋体" w:eastAsia="宋体"/>
                <w:sz w:val="20"/>
              </w:rPr>
              <w:t>0.25、0.6、0.9、1.0</w:t>
            </w:r>
          </w:p>
        </w:tc>
      </w:tr>
    </w:tbl>
    <w:p w14:paraId="0A4CA32D">
      <w:pPr>
        <w:pStyle w:val="5"/>
      </w:pPr>
      <w:r>
        <w:rPr>
          <w:rFonts w:ascii="宋体" w:hAnsi="宋体" w:eastAsia="宋体"/>
        </w:rPr>
        <w:t>第二种实施方式</w:t>
      </w:r>
    </w:p>
    <w:p w14:paraId="50725B4F">
      <w:pPr>
        <w:spacing w:after="120" w:line="276" w:lineRule="auto"/>
      </w:pPr>
      <w:r>
        <w:rPr>
          <w:rFonts w:ascii="宋体" w:hAnsi="宋体" w:eastAsia="宋体"/>
          <w:sz w:val="21"/>
        </w:rPr>
        <w:t xml:space="preserve">本实施方式用于多个管理区分别诊断。设水稻田被划分为互不重叠的管理区 </w:t>
      </w:r>
      <m:oMath>
        <m:sSub>
          <m:sSubPr/>
          <m:e>
            <m:r>
              <m:rPr>
                <m:sty m:val="p"/>
              </m:rPr>
              <w:rPr>
                <w:rFonts w:ascii="Cambria Math" w:hAnsi="Cambria Math" w:eastAsia="Cambria Math" w:cs="Cambria Math"/>
              </w:rPr>
              <m:t>Ω</m:t>
            </m:r>
          </m:e>
          <m:sub>
            <m:r>
              <m:rPr>
                <m:sty m:val="p"/>
              </m:rPr>
              <w:rPr>
                <w:rFonts w:ascii="Cambria Math" w:hAnsi="Cambria Math" w:eastAsia="Cambria Math" w:cs="Cambria Math"/>
              </w:rPr>
              <m:t>1</m:t>
            </m:r>
          </m:sub>
        </m:sSub>
      </m:oMath>
      <w:r>
        <w:rPr>
          <w:rFonts w:ascii="宋体" w:hAnsi="宋体" w:eastAsia="宋体"/>
          <w:sz w:val="21"/>
        </w:rPr>
        <w:t xml:space="preserve"> 和 </w:t>
      </w:r>
      <m:oMath>
        <m:sSub>
          <m:sSubPr/>
          <m:e>
            <m:r>
              <m:rPr>
                <m:sty m:val="p"/>
              </m:rPr>
              <w:rPr>
                <w:rFonts w:ascii="Cambria Math" w:hAnsi="Cambria Math" w:eastAsia="Cambria Math" w:cs="Cambria Math"/>
              </w:rPr>
              <m:t>Ω</m:t>
            </m:r>
          </m:e>
          <m:sub>
            <m:r>
              <m:rPr>
                <m:sty m:val="p"/>
              </m:rPr>
              <w:rPr>
                <w:rFonts w:ascii="Cambria Math" w:hAnsi="Cambria Math" w:eastAsia="Cambria Math" w:cs="Cambria Math"/>
              </w:rPr>
              <m:t>2</m:t>
            </m:r>
          </m:sub>
        </m:sSub>
      </m:oMath>
      <w:r>
        <w:rPr>
          <w:rFonts w:ascii="宋体" w:hAnsi="宋体" w:eastAsia="宋体"/>
          <w:sz w:val="21"/>
        </w:rPr>
        <w:t>。对每个管理区分别构造有效诊断值集合，分别求分位阈值并形成养分等级。因此，即使两个管理区的诊断值绝对范围不同，也可依据各区内部相对分布确定养分等级。</w:t>
      </w:r>
    </w:p>
    <w:p w14:paraId="5649CB0C">
      <w:pPr>
        <w:spacing w:after="120" w:line="276" w:lineRule="auto"/>
      </w:pPr>
      <w:r>
        <w:rPr>
          <w:rFonts w:ascii="宋体" w:hAnsi="宋体" w:eastAsia="宋体"/>
          <w:sz w:val="21"/>
        </w:rPr>
        <w:t xml:space="preserve">各管理区可以采用不同的基准施肥量和等级变化系数。分别计算 </w:t>
      </w:r>
      <m:oMath>
        <m:sSub>
          <m:sSubPr/>
          <m:e>
            <m:r>
              <m:rPr>
                <m:sty m:val="p"/>
              </m:rPr>
              <w:rPr>
                <w:rFonts w:ascii="Cambria Math" w:hAnsi="Cambria Math" w:eastAsia="Cambria Math" w:cs="Cambria Math"/>
              </w:rPr>
              <m:t>Q</m:t>
            </m:r>
          </m:e>
          <m:sub>
            <m:r>
              <m:rPr>
                <m:sty m:val="p"/>
              </m:rPr>
              <w:rPr>
                <w:rFonts w:ascii="Cambria Math" w:hAnsi="Cambria Math" w:eastAsia="Cambria Math" w:cs="Cambria Math"/>
              </w:rPr>
              <m:t>s,1</m:t>
            </m:r>
          </m:sub>
        </m:sSub>
        <m:r>
          <m:rPr>
            <m:sty m:val="p"/>
          </m:rPr>
          <w:rPr>
            <w:rFonts w:ascii="Cambria Math" w:hAnsi="Cambria Math" w:eastAsia="Cambria Math" w:cs="Cambria Math"/>
          </w:rPr>
          <m:t>(x)</m:t>
        </m:r>
      </m:oMath>
      <w:r>
        <w:rPr>
          <w:rFonts w:ascii="宋体" w:hAnsi="宋体" w:eastAsia="宋体"/>
          <w:sz w:val="21"/>
        </w:rPr>
        <w:t xml:space="preserve"> 和 </w:t>
      </w:r>
      <m:oMath>
        <m:sSub>
          <m:sSubPr/>
          <m:e>
            <m:r>
              <m:rPr>
                <m:sty m:val="p"/>
              </m:rPr>
              <w:rPr>
                <w:rFonts w:ascii="Cambria Math" w:hAnsi="Cambria Math" w:eastAsia="Cambria Math" w:cs="Cambria Math"/>
              </w:rPr>
              <m:t>Q</m:t>
            </m:r>
          </m:e>
          <m:sub>
            <m:r>
              <m:rPr>
                <m:sty m:val="p"/>
              </m:rPr>
              <w:rPr>
                <w:rFonts w:ascii="Cambria Math" w:hAnsi="Cambria Math" w:eastAsia="Cambria Math" w:cs="Cambria Math"/>
              </w:rPr>
              <m:t>s,2</m:t>
            </m:r>
          </m:sub>
        </m:sSub>
        <m:r>
          <m:rPr>
            <m:sty m:val="p"/>
          </m:rPr>
          <w:rPr>
            <w:rFonts w:ascii="Cambria Math" w:hAnsi="Cambria Math" w:eastAsia="Cambria Math" w:cs="Cambria Math"/>
          </w:rPr>
          <m:t>(x)</m:t>
        </m:r>
      </m:oMath>
      <w:r>
        <w:rPr>
          <w:rFonts w:ascii="宋体" w:hAnsi="宋体" w:eastAsia="宋体"/>
          <w:sz w:val="21"/>
        </w:rPr>
        <w:t xml:space="preserve"> 后，按式（11）合并。由于两个管理区互不重叠，任一位置至多取一个管理区的有效施肥量。未被管理区覆盖的位置可保持无效，也可另行使用全田分位阈值计算。</w:t>
      </w:r>
    </w:p>
    <w:p w14:paraId="196794F0">
      <w:pPr>
        <w:pStyle w:val="5"/>
      </w:pPr>
      <w:r>
        <w:rPr>
          <w:rFonts w:ascii="宋体" w:hAnsi="宋体" w:eastAsia="宋体"/>
        </w:rPr>
        <w:t>第三种实施方式</w:t>
      </w:r>
    </w:p>
    <w:p w14:paraId="6D34934F">
      <w:pPr>
        <w:spacing w:after="120" w:line="276" w:lineRule="auto"/>
      </w:pPr>
      <w:r>
        <w:rPr>
          <w:rFonts w:ascii="宋体" w:hAnsi="宋体" w:eastAsia="宋体"/>
          <w:sz w:val="21"/>
        </w:rPr>
        <w:t xml:space="preserve">本实施方式用于成熟期诊断。先计算 </w:t>
      </w:r>
      <m:oMath>
        <m:r>
          <m:rPr>
            <m:sty m:val="p"/>
          </m:rPr>
          <w:rPr>
            <w:rFonts w:ascii="Cambria Math" w:hAnsi="Cambria Math" w:eastAsia="Cambria Math" w:cs="Cambria Math"/>
          </w:rPr>
          <m:t>RVI=</m:t>
        </m:r>
        <m:sSub>
          <m:sSubPr/>
          <m:e>
            <m:r>
              <m:rPr>
                <m:sty m:val="p"/>
              </m:rPr>
              <w:rPr>
                <w:rFonts w:ascii="Cambria Math" w:hAnsi="Cambria Math" w:eastAsia="Cambria Math" w:cs="Cambria Math"/>
              </w:rPr>
              <m:t>B</m:t>
            </m:r>
          </m:e>
          <m:sub>
            <m:r>
              <m:rPr>
                <m:sty m:val="p"/>
              </m:rPr>
              <w:rPr>
                <w:rFonts w:ascii="Cambria Math" w:hAnsi="Cambria Math" w:eastAsia="Cambria Math" w:cs="Cambria Math"/>
              </w:rPr>
              <m:t>4</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B</m:t>
            </m:r>
          </m:e>
          <m:sub>
            <m:r>
              <m:rPr>
                <m:sty m:val="p"/>
              </m:rPr>
              <w:rPr>
                <w:rFonts w:ascii="Cambria Math" w:hAnsi="Cambria Math" w:eastAsia="Cambria Math" w:cs="Cambria Math"/>
              </w:rPr>
              <m:t>3</m:t>
            </m:r>
          </m:sub>
        </m:sSub>
      </m:oMath>
      <w:r>
        <w:rPr>
          <w:rFonts w:ascii="宋体" w:hAnsi="宋体" w:eastAsia="宋体"/>
          <w:sz w:val="21"/>
        </w:rPr>
        <w:t>，再计算：</w:t>
      </w:r>
    </w:p>
    <w:p w14:paraId="1D8B9BDC">
      <w:pPr>
        <w:spacing w:before="60" w:after="120"/>
        <w:jc w:val="center"/>
        <m:rPr/>
        <w:rPr>
          <w:rFonts w:hAnsi="Cambria Math" w:eastAsia="Cambria Math" w:cs="Cambria Math"/>
          <w:b w:val="0"/>
          <w:i w:val="0"/>
        </w:rPr>
      </w:pPr>
      <m:oMathPara>
        <m:oMath>
          <m:eqArr>
            <m:eqArrPr>
              <m:maxDist m:val="1"/>
              <m:ctrlPr>
                <m:rPr/>
                <w:rPr>
                  <w:rFonts w:hAnsi="Cambria Math" w:eastAsia="Cambria Math" w:cs="Cambria Math"/>
                  <w:b w:val="0"/>
                  <w:i w:val="0"/>
                </w:rPr>
              </m:ctrlPr>
            </m:eqArrPr>
            <m:e>
              <m:sSub>
                <m:sSubPr/>
                <m:e>
                  <m:r>
                    <m:rPr>
                      <m:sty m:val="p"/>
                    </m:rPr>
                    <w:rPr>
                      <w:rFonts w:ascii="Cambria Math" w:hAnsi="Cambria Math" w:eastAsia="Cambria Math" w:cs="Cambria Math"/>
                    </w:rPr>
                    <m:t>D</m:t>
                  </m:r>
                </m:e>
                <m:sub>
                  <m:r>
                    <m:rPr>
                      <m:sty m:val="p"/>
                    </m:rPr>
                    <w:rPr>
                      <w:rFonts w:ascii="Cambria Math" w:hAnsi="Cambria Math" w:eastAsia="Cambria Math" w:cs="Cambria Math"/>
                    </w:rPr>
                    <m:t>s</m:t>
                  </m:r>
                </m:sub>
              </m:sSub>
              <m:r>
                <m:rPr>
                  <m:sty m:val="p"/>
                </m:rPr>
                <w:rPr>
                  <w:rFonts w:ascii="Cambria Math" w:hAnsi="Cambria Math" w:eastAsia="Cambria Math" w:cs="Cambria Math"/>
                </w:rPr>
                <m:t>=−48.304RV</m:t>
              </m:r>
              <m:sSup>
                <m:sSupPr/>
                <m:e>
                  <m:r>
                    <m:rPr>
                      <m:sty m:val="p"/>
                    </m:rPr>
                    <w:rPr>
                      <w:rFonts w:ascii="Cambria Math" w:hAnsi="Cambria Math" w:eastAsia="Cambria Math" w:cs="Cambria Math"/>
                    </w:rPr>
                    <m:t>I</m:t>
                  </m:r>
                </m:e>
                <m:sup>
                  <m:r>
                    <m:rPr>
                      <m:sty m:val="p"/>
                    </m:rPr>
                    <w:rPr>
                      <w:rFonts w:ascii="Cambria Math" w:hAnsi="Cambria Math" w:eastAsia="Cambria Math" w:cs="Cambria Math"/>
                    </w:rPr>
                    <m:t>2</m:t>
                  </m:r>
                </m:sup>
              </m:sSup>
              <m:r>
                <m:rPr>
                  <m:sty m:val="p"/>
                </m:rPr>
                <w:rPr>
                  <w:rFonts w:ascii="Cambria Math" w:hAnsi="Cambria Math" w:eastAsia="Cambria Math" w:cs="Cambria Math"/>
                </w:rPr>
                <m:t>+518.11RVI−528.44</m:t>
              </m:r>
              <m:r>
                <m:rPr>
                  <m:sty m:val="p"/>
                </m:rPr>
                <w:rPr>
                  <w:rFonts w:hint="default" w:ascii="Cambria Math" w:hAnsi="Cambria Math" w:cs="Cambria Math"/>
                  <w:lang w:val="en-US" w:eastAsia="zh-CN"/>
                </w:rPr>
                <m:t>#</m:t>
              </m:r>
              <m:r>
                <m:rPr>
                  <m:sty m:val="p"/>
                </m:rPr>
                <w:rPr>
                  <w:rFonts w:ascii="Cambria Math" w:hAnsi="Cambria Math" w:eastAsia="Cambria Math" w:cs="Cambria Math"/>
                </w:rPr>
                <m:t>(15)</m:t>
              </m:r>
              <m:ctrlPr>
                <m:rPr/>
                <w:rPr>
                  <w:rFonts w:hAnsi="Cambria Math" w:eastAsia="Cambria Math" w:cs="Cambria Math"/>
                  <w:b w:val="0"/>
                  <w:i w:val="0"/>
                </w:rPr>
              </m:ctrlPr>
            </m:e>
          </m:eqArr>
        </m:oMath>
      </m:oMathPara>
    </w:p>
    <w:p w14:paraId="6A35E852">
      <w:pPr>
        <w:spacing w:after="120" w:line="276" w:lineRule="auto"/>
      </w:pPr>
      <w:r>
        <w:rPr>
          <w:rFonts w:ascii="宋体" w:hAnsi="宋体" w:eastAsia="宋体"/>
          <w:sz w:val="21"/>
        </w:rPr>
        <w:t>对有效诊断值求0.25、0.6、0.9和1.0分位值，形成四个产量</w:t>
      </w:r>
      <w:bookmarkStart w:id="0" w:name="_GoBack"/>
      <w:bookmarkEnd w:id="0"/>
      <w:r>
        <w:rPr>
          <w:rFonts w:ascii="宋体" w:hAnsi="宋体" w:eastAsia="宋体"/>
          <w:sz w:val="21"/>
        </w:rPr>
        <w:t>等级。当成熟期诊断仅用于产量空间分析时，可以输出等级图而不计算施肥量；当用于后续养分管理时，可采用经农艺试验确定的四级参数或逐级施肥量继续执行式（6）至式（9）。</w:t>
      </w:r>
    </w:p>
    <w:p w14:paraId="5BD31250">
      <w:pPr>
        <w:pStyle w:val="5"/>
      </w:pPr>
      <w:r>
        <w:rPr>
          <w:rFonts w:ascii="宋体" w:hAnsi="宋体" w:eastAsia="宋体"/>
        </w:rPr>
        <w:t>计算边界</w:t>
      </w:r>
    </w:p>
    <w:p w14:paraId="02A066AA">
      <w:pPr>
        <w:spacing w:after="120" w:line="276" w:lineRule="auto"/>
      </w:pPr>
      <w:r>
        <w:rPr>
          <w:rFonts w:ascii="宋体" w:hAnsi="宋体" w:eastAsia="宋体"/>
          <w:sz w:val="21"/>
        </w:rPr>
        <w:t>如果各波段影像不处于相同地理网格、诊断范围内不存在有效诊断值、最后一个分位点不等于1、逐级施肥量缺少有效等级、源影像缺少真实地面距离换算所需坐标参考，或者目标处方格内不存在有效源像元，则停止相应计算或将目标结果标记为无效，不以默认有效值代替缺失数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T">
    <w:altName w:val="ESRI AMFM Electric"/>
    <w:panose1 w:val="00000000000000000000"/>
    <w:charset w:val="00"/>
    <w:family w:val="auto"/>
    <w:pitch w:val="default"/>
    <w:sig w:usb0="00000000" w:usb1="00000000" w:usb2="00000000" w:usb3="00000000" w:csb0="00000000" w:csb1="00000000"/>
  </w:font>
  <w:font w:name="Tim">
    <w:altName w:val="ESRI AMFM Electric"/>
    <w:panose1 w:val="00000000000000000000"/>
    <w:charset w:val="00"/>
    <w:family w:val="auto"/>
    <w:pitch w:val="default"/>
    <w:sig w:usb0="00000000" w:usb1="00000000" w:usb2="00000000" w:usb3="00000000" w:csb0="00000000" w:csb1="00000000"/>
  </w:font>
  <w:font w:name="MS Mincho">
    <w:altName w:val="ESRI AMFM Electr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20"/>
      </w:pPr>
      <w:r>
        <w:separator/>
      </w:r>
    </w:p>
  </w:footnote>
  <w:footnote w:type="continuationSeparator" w:id="1">
    <w:p>
      <w:pPr>
        <w:spacing w:before="0" w:after="0" w:line="276"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487D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firstLine="643" w:firstLineChars="200"/>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Normal (Web)"/>
    <w:basedOn w:val="1"/>
    <w:unhideWhenUsed/>
    <w:qFormat/>
    <w:uiPriority w:val="99"/>
    <w:pPr>
      <w:spacing w:beforeAutospacing="1" w:afterAutospacing="1" w:line="440" w:lineRule="exact"/>
      <w:ind w:firstLine="0" w:firstLineChars="0"/>
      <w:jc w:val="left"/>
    </w:pPr>
    <w:rPr>
      <w:rFonts w:ascii="Times New Roman" w:hAnsi="Times New Roman" w:eastAsia="仿宋"/>
      <w:b/>
      <w:sz w:val="24"/>
      <w:szCs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uiPriority w:val="99"/>
    <w:rPr>
      <w:rFonts w:ascii="Courier New" w:hAnsi="Courier New"/>
      <w:sz w:val="20"/>
    </w:rPr>
  </w:style>
  <w:style w:type="character" w:customStyle="1" w:styleId="138">
    <w:name w:val="Header Char"/>
    <w:basedOn w:val="134"/>
    <w:link w:val="25"/>
    <w:uiPriority w:val="99"/>
  </w:style>
  <w:style w:type="character" w:customStyle="1" w:styleId="139">
    <w:name w:val="Footer Char"/>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28"/>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2923</Words>
  <Characters>3889</Characters>
  <Lines>0</Lines>
  <Paragraphs>0</Paragraphs>
  <TotalTime>64</TotalTime>
  <ScaleCrop>false</ScaleCrop>
  <LinksUpToDate>false</LinksUpToDate>
  <CharactersWithSpaces>3961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郝锦涛</cp:lastModifiedBy>
  <dcterms:modified xsi:type="dcterms:W3CDTF">2026-09-19T15:33:24Z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eyJoZGlkIjoiZDYyMDg4ZmI3ZmY2N2M2ZTQ5YzRhMGFhOGQ3YjdlOTciLCJ1c2VySWQiOiIxODY1MDA5MDc1In0=</vt:lpwstr>
  </property>
  <property fmtid="{D5CDD505-2E9C-101B-9397-08002B2CF9AE}" pid="3" name="KSOProductBuildVer">
    <vt:lpwstr>2052-12.1.0.28505</vt:lpwstr>
  </property>
  <property fmtid="{D5CDD505-2E9C-101B-9397-08002B2CF9AE}" pid="4" name="ICV">
    <vt:lpwstr>59588A33A1DB4349B98244B1BE3B07C3_12</vt:lpwstr>
  </property>
</Properties>
</file>