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csh7rzp02d"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100" w:before="400" w:lineRule="auto"/>
        <w:jc w:val="center"/>
        <w:rPr/>
      </w:pPr>
      <w:r w:rsidDel="00000000" w:rsidR="00000000" w:rsidRPr="00000000">
        <w:rPr>
          <w:b w:val="1"/>
          <w:bCs w:val="1"/>
          <w:color w:val="2c5aa0"/>
          <w:sz w:val="48"/>
          <w:szCs w:val="48"/>
          <w:rtl w:val="0"/>
        </w:rPr>
        <w:t xml:space="preserve">USER FLOWS</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color w:val="666666"/>
          <w:sz w:val="28"/>
          <w:szCs w:val="28"/>
          <w:rtl w:val="0"/>
        </w:rPr>
        <w:t xml:space="preserve">USPTO Provisional Patent Application Filing</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color w:val="999999"/>
          <w:rtl w:val="0"/>
        </w:rPr>
        <w:t xml:space="preserve">Version 1.0  |  February 2026</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Overview</w:t>
      </w:r>
    </w:p>
    <w:p w:rsidR="00000000" w:rsidDel="00000000" w:rsidP="00000000" w:rsidRDefault="00000000" w:rsidRPr="00000000" w14:paraId="00000006">
      <w:pPr>
        <w:spacing w:after="120" w:lineRule="auto"/>
        <w:rPr/>
      </w:pPr>
      <w:r w:rsidDel="00000000" w:rsidR="00000000" w:rsidRPr="00000000">
        <w:rPr>
          <w:rtl w:val="0"/>
        </w:rPr>
        <w:t xml:space="preserve">This document defines the user flows for USPTO provisional patent application filing within the Filing Ready platform. The provisional filing process is fundamentally identical across all user segments and industries. The core differences lie in entity status determination (which affects fees) and industry-specific scrutiny of the specification document.</w:t>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2. User Segments</w:t>
      </w:r>
    </w:p>
    <w:p w:rsidR="00000000" w:rsidDel="00000000" w:rsidP="00000000" w:rsidRDefault="00000000" w:rsidRPr="00000000" w14:paraId="00000009">
      <w:pPr>
        <w:spacing w:after="120" w:lineRule="auto"/>
        <w:rPr/>
      </w:pPr>
      <w:r w:rsidDel="00000000" w:rsidR="00000000" w:rsidRPr="00000000">
        <w:rPr>
          <w:rtl w:val="0"/>
        </w:rPr>
        <w:t xml:space="preserve">Filing Ready serves three primary user segments, each with distinct entity status considerations:</w:t>
      </w:r>
    </w:p>
    <w:p w:rsidR="00000000" w:rsidDel="00000000" w:rsidP="00000000" w:rsidRDefault="00000000" w:rsidRPr="00000000" w14:paraId="0000000A">
      <w:pPr>
        <w:spacing w:after="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400"/>
        <w:gridCol w:w="2360"/>
        <w:tblGridChange w:id="0">
          <w:tblGrid>
            <w:gridCol w:w="2200"/>
            <w:gridCol w:w="2400"/>
            <w:gridCol w:w="24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c5aa0"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5aa0"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b w:val="1"/>
                <w:bCs w:val="1"/>
                <w:color w:val="ffffff"/>
                <w:sz w:val="20"/>
                <w:szCs w:val="20"/>
                <w:rtl w:val="0"/>
              </w:rPr>
              <w:t xml:space="preserve">Individual Innovator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5aa0"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color w:val="ffffff"/>
                <w:sz w:val="20"/>
                <w:szCs w:val="20"/>
                <w:rtl w:val="0"/>
              </w:rPr>
              <w:t xml:space="preserve">Enterprise Innovator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5aa0"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b w:val="1"/>
                <w:bCs w:val="1"/>
                <w:color w:val="ffffff"/>
                <w:sz w:val="20"/>
                <w:szCs w:val="20"/>
                <w:rtl w:val="0"/>
              </w:rPr>
              <w:t xml:space="preserve">University Researcher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b w:val="1"/>
                <w:bCs w:val="1"/>
                <w:sz w:val="20"/>
                <w:szCs w:val="20"/>
                <w:rtl w:val="0"/>
              </w:rPr>
              <w:t xml:space="preserve">Typical Entity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sz w:val="20"/>
                <w:szCs w:val="20"/>
                <w:rtl w:val="0"/>
              </w:rPr>
              <w:t xml:space="preserve">Micro or Small 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sz w:val="20"/>
                <w:szCs w:val="20"/>
                <w:rtl w:val="0"/>
              </w:rPr>
              <w:t xml:space="preserve">Large Entity (typically)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sz w:val="20"/>
                <w:szCs w:val="20"/>
                <w:rtl w:val="0"/>
              </w:rPr>
              <w:t xml:space="preserve">Micro Entity (Higher Ed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b w:val="1"/>
                <w:bCs w:val="1"/>
                <w:sz w:val="20"/>
                <w:szCs w:val="20"/>
                <w:rtl w:val="0"/>
              </w:rPr>
              <w:t xml:space="preserve">Provisional 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sz w:val="20"/>
                <w:szCs w:val="20"/>
                <w:rtl w:val="0"/>
              </w:rPr>
              <w:t xml:space="preserve">$65 (Micro) / $130 (Small)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sz w:val="20"/>
                <w:szCs w:val="20"/>
                <w:rtl w:val="0"/>
              </w:rPr>
              <w:t xml:space="preserve">$325 (Large)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sz w:val="20"/>
                <w:szCs w:val="20"/>
                <w:rtl w:val="0"/>
              </w:rPr>
              <w:t xml:space="preserve">$65 (Micro)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b w:val="1"/>
                <w:bCs w:val="1"/>
                <w:sz w:val="20"/>
                <w:szCs w:val="20"/>
                <w:rtl w:val="0"/>
              </w:rPr>
              <w:t xml:space="preserve">Entity CFR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sz w:val="20"/>
                <w:szCs w:val="20"/>
                <w:rtl w:val="0"/>
              </w:rPr>
              <w:t xml:space="preserve">37 CFR 1.29(a) / 1.27(a)(1)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sz w:val="20"/>
                <w:szCs w:val="20"/>
                <w:rtl w:val="0"/>
              </w:rPr>
              <w:t xml:space="preserve">37 CFR 1.27(a)(2)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sz w:val="20"/>
                <w:szCs w:val="20"/>
                <w:rtl w:val="0"/>
              </w:rPr>
              <w:t xml:space="preserve">37 CFR 1.29(d)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b w:val="1"/>
                <w:bCs w:val="1"/>
                <w:sz w:val="20"/>
                <w:szCs w:val="20"/>
                <w:rtl w:val="0"/>
              </w:rPr>
              <w:t xml:space="preserve">Entity Form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sz w:val="20"/>
                <w:szCs w:val="20"/>
                <w:rtl w:val="0"/>
              </w:rPr>
              <w:t xml:space="preserve">PTO/SB/15A (if Micro)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sz w:val="20"/>
                <w:szCs w:val="20"/>
                <w:rtl w:val="0"/>
              </w:rPr>
              <w:t xml:space="preserve">None (Large is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sz w:val="20"/>
                <w:szCs w:val="20"/>
                <w:rtl w:val="0"/>
              </w:rPr>
              <w:t xml:space="preserve">PTO/SB/15B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b w:val="1"/>
                <w:bCs w:val="1"/>
                <w:sz w:val="20"/>
                <w:szCs w:val="20"/>
                <w:rtl w:val="0"/>
              </w:rPr>
              <w:t xml:space="preserve">Key Qualification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sz w:val="20"/>
                <w:szCs w:val="20"/>
                <w:rtl w:val="0"/>
              </w:rPr>
              <w:t xml:space="preserve">Income &lt; $251,190; ≤4 prior apps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sz w:val="20"/>
                <w:szCs w:val="20"/>
                <w:rtl w:val="0"/>
              </w:rPr>
              <w:t xml:space="preserve">Employee count ≥500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sz w:val="20"/>
                <w:szCs w:val="20"/>
                <w:rtl w:val="0"/>
              </w:rPr>
              <w:t xml:space="preserve">Higher Ed employer/assignee</w:t>
            </w:r>
            <w:r w:rsidDel="00000000" w:rsidR="00000000" w:rsidRPr="00000000">
              <w:rPr>
                <w:rtl w:val="0"/>
              </w:rPr>
            </w:r>
          </w:p>
        </w:tc>
      </w:tr>
    </w:tbl>
    <w:p w:rsidR="00000000" w:rsidDel="00000000" w:rsidP="00000000" w:rsidRDefault="00000000" w:rsidRPr="00000000" w14:paraId="00000023">
      <w:pPr>
        <w:spacing w:after="120" w:lineRule="auto"/>
        <w:rPr/>
      </w:pP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tl w:val="0"/>
        </w:rPr>
        <w:t xml:space="preserve">For complete entity status determination logic, refer to the Entity Status Decision Tree document, which provides exhaustive coverage of all CFR requirements, exceptions, and edge cases including government license exceptions (37 CFR 1.27(a)(4)), security interest exceptions, and the 4-application limit exclusions for micro entity qualification.</w:t>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3. Universal Provisional Filing Flow</w:t>
      </w:r>
    </w:p>
    <w:p w:rsidR="00000000" w:rsidDel="00000000" w:rsidP="00000000" w:rsidRDefault="00000000" w:rsidRPr="00000000" w14:paraId="00000027">
      <w:pPr>
        <w:spacing w:after="120" w:lineRule="auto"/>
        <w:rPr/>
      </w:pPr>
      <w:r w:rsidDel="00000000" w:rsidR="00000000" w:rsidRPr="00000000">
        <w:rPr>
          <w:rtl w:val="0"/>
        </w:rPr>
        <w:t xml:space="preserve">The provisional patent application filing process follows an identical structure across all segments and industries. The flow consists of four phases: Document Assembly, Entity Status Determination, USPTO Submission, and Post-Filing Actions.</w:t>
      </w:r>
    </w:p>
    <w:p w:rsidR="00000000" w:rsidDel="00000000" w:rsidP="00000000" w:rsidRDefault="00000000" w:rsidRPr="00000000" w14:paraId="00000028">
      <w:pPr>
        <w:spacing w:after="120" w:lineRule="auto"/>
        <w:rPr/>
      </w:pP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3.1 Phase 1: Document Assembly</w:t>
      </w:r>
    </w:p>
    <w:p w:rsidR="00000000" w:rsidDel="00000000" w:rsidP="00000000" w:rsidRDefault="00000000" w:rsidRPr="00000000" w14:paraId="0000002A">
      <w:pPr>
        <w:spacing w:after="120" w:lineRule="auto"/>
        <w:rPr/>
      </w:pPr>
      <w:r w:rsidDel="00000000" w:rsidR="00000000" w:rsidRPr="00000000">
        <w:rPr>
          <w:rtl w:val="0"/>
        </w:rPr>
        <w:t xml:space="preserve">All provisional applications require the same four documents, regardless of segment or industry:</w:t>
      </w:r>
    </w:p>
    <w:p w:rsidR="00000000" w:rsidDel="00000000" w:rsidP="00000000" w:rsidRDefault="00000000" w:rsidRPr="00000000" w14:paraId="0000002B">
      <w:pPr>
        <w:spacing w:after="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000"/>
        <w:gridCol w:w="3560"/>
        <w:tblGridChange w:id="0">
          <w:tblGrid>
            <w:gridCol w:w="1800"/>
            <w:gridCol w:w="40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c5aa0"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b w:val="1"/>
                <w:bCs w:val="1"/>
                <w:color w:val="ffffff"/>
                <w:sz w:val="20"/>
                <w:szCs w:val="20"/>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5aa0"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5aa0"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b w:val="1"/>
                <w:bCs w:val="1"/>
                <w:color w:val="ffffff"/>
                <w:sz w:val="20"/>
                <w:szCs w:val="20"/>
                <w:rtl w:val="0"/>
              </w:rPr>
              <w:t xml:space="preserve">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b w:val="1"/>
                <w:bCs w:val="1"/>
                <w:sz w:val="20"/>
                <w:szCs w:val="20"/>
                <w:rtl w:val="0"/>
              </w:rPr>
              <w:t xml:space="preserve">1. Specification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sz w:val="20"/>
                <w:szCs w:val="20"/>
                <w:rtl w:val="0"/>
              </w:rPr>
              <w:t xml:space="preserve">Single PDF containing: Title, Background, Summary, Detailed Description, Brief Description of Drawings, Optional Claims, Abstract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sz w:val="20"/>
                <w:szCs w:val="20"/>
                <w:rtl w:val="0"/>
              </w:rPr>
              <w:t xml:space="preserve">Must meet enablement standard per 35 USC 112(a). Industry-specific scrutiny applies.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b w:val="1"/>
                <w:bCs w:val="1"/>
                <w:sz w:val="20"/>
                <w:szCs w:val="20"/>
                <w:rtl w:val="0"/>
              </w:rPr>
              <w:t xml:space="preserve">2. Drawings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sz w:val="20"/>
                <w:szCs w:val="20"/>
                <w:rtl w:val="0"/>
              </w:rPr>
              <w:t xml:space="preserve">Separate PDF with figures, diagrams, schematics, flowcharts illustrating the invention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sz w:val="20"/>
                <w:szCs w:val="20"/>
                <w:rtl w:val="0"/>
              </w:rPr>
              <w:t xml:space="preserve">Highly recommended. Including drawings increases approval odds by approximately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b w:val="1"/>
                <w:bCs w:val="1"/>
                <w:sz w:val="20"/>
                <w:szCs w:val="20"/>
                <w:rtl w:val="0"/>
              </w:rPr>
              <w:t xml:space="preserve">3. Cover Sheet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sz w:val="20"/>
                <w:szCs w:val="20"/>
                <w:rtl w:val="0"/>
              </w:rPr>
              <w:t xml:space="preserve">Form PTO/SB/16 - Provisional Application Cover Sheet with inventor information and correspondence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sz w:val="20"/>
                <w:szCs w:val="20"/>
                <w:rtl w:val="0"/>
              </w:rPr>
              <w:t xml:space="preserve">Required. Must list all inventors with full names and residential addresses.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b w:val="1"/>
                <w:bCs w:val="1"/>
                <w:sz w:val="20"/>
                <w:szCs w:val="20"/>
                <w:rtl w:val="0"/>
              </w:rPr>
              <w:t xml:space="preserve">4. Entity Cert.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sz w:val="20"/>
                <w:szCs w:val="20"/>
                <w:rtl w:val="0"/>
              </w:rPr>
              <w:t xml:space="preserve">Form PTO/SB/15A (Gross Income Basis) or PTO/SB/15B (Higher Ed Basis) for Micro Entity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sz w:val="20"/>
                <w:szCs w:val="20"/>
                <w:rtl w:val="0"/>
              </w:rPr>
              <w:t xml:space="preserve">Required only for Micro Entity. Must be filed BEFORE paying fees at micro rate.</w:t>
            </w:r>
            <w:r w:rsidDel="00000000" w:rsidR="00000000" w:rsidRPr="00000000">
              <w:rPr>
                <w:rtl w:val="0"/>
              </w:rPr>
            </w:r>
          </w:p>
        </w:tc>
      </w:tr>
    </w:tbl>
    <w:p w:rsidR="00000000" w:rsidDel="00000000" w:rsidP="00000000" w:rsidRDefault="00000000" w:rsidRPr="00000000" w14:paraId="0000003B">
      <w:pPr>
        <w:spacing w:after="120" w:lineRule="auto"/>
        <w:rPr/>
      </w:pP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b w:val="1"/>
          <w:bCs w:val="1"/>
          <w:rtl w:val="0"/>
        </w:rPr>
        <w:t xml:space="preserve">Source of Specification Document: </w:t>
      </w:r>
      <w:r w:rsidDel="00000000" w:rsidR="00000000" w:rsidRPr="00000000">
        <w:rPr>
          <w:rtl w:val="0"/>
        </w:rPr>
        <w:t xml:space="preserve">The specification document is generated upstream by the Filing Ready AI system from the user's technical disclosure (e.g., technical paper, invention disclosure form, or direct input). The upstream system produces a draft specification that must then pass through industry-specific scrutiny verifiers before proceeding to filing.</w:t>
      </w:r>
    </w:p>
    <w:p w:rsidR="00000000" w:rsidDel="00000000" w:rsidP="00000000" w:rsidRDefault="00000000" w:rsidRPr="00000000" w14:paraId="0000003D">
      <w:pPr>
        <w:spacing w:after="120" w:lineRule="auto"/>
        <w:rPr/>
      </w:pP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b w:val="1"/>
          <w:bCs w:val="1"/>
          <w:rtl w:val="0"/>
        </w:rPr>
        <w:t xml:space="preserve">Claims in Provisional: </w:t>
      </w:r>
      <w:r w:rsidDel="00000000" w:rsidR="00000000" w:rsidRPr="00000000">
        <w:rPr>
          <w:rtl w:val="0"/>
        </w:rPr>
        <w:t xml:space="preserve">Claims are NOT required by law for provisional applications. However, including informal claims at the end of the specification document is strategically beneficial as it forces articulation of novel aspects and simplifies subsequent non-provisional conversion. If included, claims should appear at the END of the specification PDF, not as a separate file.</w:t>
      </w:r>
    </w:p>
    <w:p w:rsidR="00000000" w:rsidDel="00000000" w:rsidP="00000000" w:rsidRDefault="00000000" w:rsidRPr="00000000" w14:paraId="0000003F">
      <w:pPr>
        <w:spacing w:after="120" w:lineRule="auto"/>
        <w:rPr/>
      </w:pP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3.2 Phase 2: Entity Status Determination</w:t>
      </w:r>
    </w:p>
    <w:p w:rsidR="00000000" w:rsidDel="00000000" w:rsidP="00000000" w:rsidRDefault="00000000" w:rsidRPr="00000000" w14:paraId="00000041">
      <w:pPr>
        <w:spacing w:after="120" w:lineRule="auto"/>
        <w:rPr/>
      </w:pPr>
      <w:r w:rsidDel="00000000" w:rsidR="00000000" w:rsidRPr="00000000">
        <w:rPr>
          <w:rtl w:val="0"/>
        </w:rPr>
        <w:t xml:space="preserve">Before filing, the system must determine the appropriate entity status to calculate the correct fee and identify required forms. The detailed logic can be followed in the </w:t>
      </w:r>
      <w:hyperlink r:id="rId6">
        <w:r w:rsidDel="00000000" w:rsidR="00000000" w:rsidRPr="00000000">
          <w:rPr>
            <w:color w:val="1155cc"/>
            <w:u w:val="single"/>
            <w:rtl w:val="0"/>
          </w:rPr>
          <w:t xml:space="preserve">Entity Status Decision Tree.</w:t>
        </w:r>
      </w:hyperlink>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rtl w:val="0"/>
        </w:rPr>
      </w:r>
    </w:p>
    <w:p w:rsidR="00000000" w:rsidDel="00000000" w:rsidP="00000000" w:rsidRDefault="00000000" w:rsidRPr="00000000" w14:paraId="00000043">
      <w:pPr>
        <w:pStyle w:val="Heading3"/>
        <w:rPr/>
      </w:pPr>
      <w:r w:rsidDel="00000000" w:rsidR="00000000" w:rsidRPr="00000000">
        <w:rPr>
          <w:rtl w:val="0"/>
        </w:rPr>
        <w:t xml:space="preserve">3.2.1 Individual Innovator Path</w:t>
      </w:r>
    </w:p>
    <w:p w:rsidR="00000000" w:rsidDel="00000000" w:rsidP="00000000" w:rsidRDefault="00000000" w:rsidRPr="00000000" w14:paraId="00000044">
      <w:pPr>
        <w:numPr>
          <w:ilvl w:val="0"/>
          <w:numId w:val="1"/>
        </w:numPr>
        <w:spacing w:after="80" w:lineRule="auto"/>
        <w:ind w:left="720" w:hanging="360"/>
      </w:pPr>
      <w:r w:rsidDel="00000000" w:rsidR="00000000" w:rsidRPr="00000000">
        <w:rPr>
          <w:rtl w:val="0"/>
        </w:rPr>
        <w:t xml:space="preserve">Verify no rights have been assigned to a non-small entity (37 CFR 1.27(a)(1))</w:t>
      </w:r>
    </w:p>
    <w:p w:rsidR="00000000" w:rsidDel="00000000" w:rsidP="00000000" w:rsidRDefault="00000000" w:rsidRPr="00000000" w14:paraId="00000045">
      <w:pPr>
        <w:numPr>
          <w:ilvl w:val="0"/>
          <w:numId w:val="1"/>
        </w:numPr>
        <w:spacing w:after="80" w:lineRule="auto"/>
        <w:ind w:left="720" w:hanging="360"/>
      </w:pPr>
      <w:r w:rsidDel="00000000" w:rsidR="00000000" w:rsidRPr="00000000">
        <w:rPr>
          <w:rFonts w:ascii="Arial Unicode MS" w:cs="Arial Unicode MS" w:eastAsia="Arial Unicode MS" w:hAnsi="Arial Unicode MS"/>
          <w:rtl w:val="0"/>
        </w:rPr>
        <w:t xml:space="preserve">Check 4-application limit: ≤4 prior nonprovisional applications (excluding provisionals, foreign apps, PCT apps without national fee, prior employment assignments) per 37 CFR 1.29(a)(2)</w:t>
      </w:r>
    </w:p>
    <w:p w:rsidR="00000000" w:rsidDel="00000000" w:rsidP="00000000" w:rsidRDefault="00000000" w:rsidRPr="00000000" w14:paraId="00000046">
      <w:pPr>
        <w:numPr>
          <w:ilvl w:val="0"/>
          <w:numId w:val="1"/>
        </w:numPr>
        <w:spacing w:after="80" w:lineRule="auto"/>
        <w:ind w:left="720" w:hanging="360"/>
      </w:pPr>
      <w:r w:rsidDel="00000000" w:rsidR="00000000" w:rsidRPr="00000000">
        <w:rPr>
          <w:rtl w:val="0"/>
        </w:rPr>
        <w:t xml:space="preserve">Verify gross income &lt; $251,190 (2025 threshold) for all inventors per 37 CFR 1.29(a)(3)</w:t>
      </w:r>
    </w:p>
    <w:p w:rsidR="00000000" w:rsidDel="00000000" w:rsidP="00000000" w:rsidRDefault="00000000" w:rsidRPr="00000000" w14:paraId="00000047">
      <w:pPr>
        <w:numPr>
          <w:ilvl w:val="0"/>
          <w:numId w:val="1"/>
        </w:numPr>
        <w:spacing w:after="80" w:lineRule="auto"/>
        <w:ind w:left="720" w:hanging="360"/>
      </w:pPr>
      <w:r w:rsidDel="00000000" w:rsidR="00000000" w:rsidRPr="00000000">
        <w:rPr>
          <w:rtl w:val="0"/>
        </w:rPr>
        <w:t xml:space="preserve">Verify no assignee/licensee exceeds income limit per 37 CFR 1.29(a)(4)</w:t>
      </w:r>
    </w:p>
    <w:p w:rsidR="00000000" w:rsidDel="00000000" w:rsidP="00000000" w:rsidRDefault="00000000" w:rsidRPr="00000000" w14:paraId="00000048">
      <w:pPr>
        <w:numPr>
          <w:ilvl w:val="0"/>
          <w:numId w:val="1"/>
        </w:numPr>
        <w:spacing w:after="120" w:lineRule="auto"/>
        <w:ind w:left="720" w:hanging="360"/>
      </w:pPr>
      <w:r w:rsidDel="00000000" w:rsidR="00000000" w:rsidRPr="00000000">
        <w:rPr>
          <w:rtl w:val="0"/>
        </w:rPr>
        <w:t xml:space="preserve">If all conditions met: Micro Entity ($65). Otherwise: Small Entity ($130)</w:t>
      </w:r>
    </w:p>
    <w:p w:rsidR="00000000" w:rsidDel="00000000" w:rsidP="00000000" w:rsidRDefault="00000000" w:rsidRPr="00000000" w14:paraId="00000049">
      <w:pPr>
        <w:spacing w:after="120" w:lineRule="auto"/>
        <w:rPr/>
      </w:pPr>
      <w:r w:rsidDel="00000000" w:rsidR="00000000" w:rsidRPr="00000000">
        <w:rPr>
          <w:rtl w:val="0"/>
        </w:rPr>
      </w:r>
    </w:p>
    <w:p w:rsidR="00000000" w:rsidDel="00000000" w:rsidP="00000000" w:rsidRDefault="00000000" w:rsidRPr="00000000" w14:paraId="0000004A">
      <w:pPr>
        <w:pStyle w:val="Heading3"/>
        <w:rPr/>
      </w:pPr>
      <w:r w:rsidDel="00000000" w:rsidR="00000000" w:rsidRPr="00000000">
        <w:rPr>
          <w:rtl w:val="0"/>
        </w:rPr>
        <w:t xml:space="preserve">3.2.2 Enterprise Innovator Path</w:t>
      </w:r>
    </w:p>
    <w:p w:rsidR="00000000" w:rsidDel="00000000" w:rsidP="00000000" w:rsidRDefault="00000000" w:rsidRPr="00000000" w14:paraId="0000004B">
      <w:pPr>
        <w:numPr>
          <w:ilvl w:val="0"/>
          <w:numId w:val="1"/>
        </w:numPr>
        <w:spacing w:after="80" w:lineRule="auto"/>
        <w:ind w:left="720" w:hanging="360"/>
      </w:pPr>
      <w:r w:rsidDel="00000000" w:rsidR="00000000" w:rsidRPr="00000000">
        <w:rPr>
          <w:rtl w:val="0"/>
        </w:rPr>
        <w:t xml:space="preserve">Check employee count including all affiliates per 13 CFR 121.801-805</w:t>
      </w:r>
    </w:p>
    <w:p w:rsidR="00000000" w:rsidDel="00000000" w:rsidP="00000000" w:rsidRDefault="00000000" w:rsidRPr="00000000" w14:paraId="0000004C">
      <w:pPr>
        <w:numPr>
          <w:ilvl w:val="0"/>
          <w:numId w:val="1"/>
        </w:numPr>
        <w:spacing w:after="80" w:lineRule="auto"/>
        <w:ind w:left="720" w:hanging="360"/>
      </w:pPr>
      <w:r w:rsidDel="00000000" w:rsidR="00000000" w:rsidRPr="00000000">
        <w:rPr>
          <w:rFonts w:ascii="Arial Unicode MS" w:cs="Arial Unicode MS" w:eastAsia="Arial Unicode MS" w:hAnsi="Arial Unicode MS"/>
          <w:rtl w:val="0"/>
        </w:rPr>
        <w:t xml:space="preserve">If ≥500 employees: Large Entity ($325) - no form required</w:t>
      </w:r>
    </w:p>
    <w:p w:rsidR="00000000" w:rsidDel="00000000" w:rsidP="00000000" w:rsidRDefault="00000000" w:rsidRPr="00000000" w14:paraId="0000004D">
      <w:pPr>
        <w:numPr>
          <w:ilvl w:val="0"/>
          <w:numId w:val="1"/>
        </w:numPr>
        <w:spacing w:after="120" w:lineRule="auto"/>
        <w:ind w:left="720" w:hanging="360"/>
      </w:pPr>
      <w:r w:rsidDel="00000000" w:rsidR="00000000" w:rsidRPr="00000000">
        <w:rPr>
          <w:rtl w:val="0"/>
        </w:rPr>
        <w:t xml:space="preserve">If &lt;500 employees: Small Entity ($130) - verify no rights assigned to large entity</w:t>
      </w:r>
    </w:p>
    <w:p w:rsidR="00000000" w:rsidDel="00000000" w:rsidP="00000000" w:rsidRDefault="00000000" w:rsidRPr="00000000" w14:paraId="0000004E">
      <w:pPr>
        <w:spacing w:after="120" w:lineRule="auto"/>
        <w:rPr/>
      </w:pPr>
      <w:r w:rsidDel="00000000" w:rsidR="00000000" w:rsidRPr="00000000">
        <w:rPr>
          <w:rtl w:val="0"/>
        </w:rPr>
      </w:r>
    </w:p>
    <w:p w:rsidR="00000000" w:rsidDel="00000000" w:rsidP="00000000" w:rsidRDefault="00000000" w:rsidRPr="00000000" w14:paraId="0000004F">
      <w:pPr>
        <w:pStyle w:val="Heading3"/>
        <w:rPr/>
      </w:pPr>
      <w:r w:rsidDel="00000000" w:rsidR="00000000" w:rsidRPr="00000000">
        <w:rPr>
          <w:rtl w:val="0"/>
        </w:rPr>
        <w:t xml:space="preserve">3.2.3 University Researcher Path</w:t>
      </w:r>
    </w:p>
    <w:p w:rsidR="00000000" w:rsidDel="00000000" w:rsidP="00000000" w:rsidRDefault="00000000" w:rsidRPr="00000000" w14:paraId="00000050">
      <w:pPr>
        <w:numPr>
          <w:ilvl w:val="0"/>
          <w:numId w:val="1"/>
        </w:numPr>
        <w:spacing w:after="80" w:lineRule="auto"/>
        <w:ind w:left="720" w:hanging="360"/>
      </w:pPr>
      <w:r w:rsidDel="00000000" w:rsidR="00000000" w:rsidRPr="00000000">
        <w:rPr>
          <w:rtl w:val="0"/>
        </w:rPr>
        <w:t xml:space="preserve">Verify researcher's primary employer is institution of higher education per 20 USC 1001(a)</w:t>
      </w:r>
    </w:p>
    <w:p w:rsidR="00000000" w:rsidDel="00000000" w:rsidP="00000000" w:rsidRDefault="00000000" w:rsidRPr="00000000" w14:paraId="00000051">
      <w:pPr>
        <w:numPr>
          <w:ilvl w:val="0"/>
          <w:numId w:val="1"/>
        </w:numPr>
        <w:spacing w:after="80" w:lineRule="auto"/>
        <w:ind w:left="720" w:hanging="360"/>
      </w:pPr>
      <w:r w:rsidDel="00000000" w:rsidR="00000000" w:rsidRPr="00000000">
        <w:rPr>
          <w:rtl w:val="0"/>
        </w:rPr>
        <w:t xml:space="preserve">Verify rights are assigned or obligated to the institution per 37 CFR 1.29(d)(2)</w:t>
      </w:r>
    </w:p>
    <w:p w:rsidR="00000000" w:rsidDel="00000000" w:rsidP="00000000" w:rsidRDefault="00000000" w:rsidRPr="00000000" w14:paraId="00000052">
      <w:pPr>
        <w:numPr>
          <w:ilvl w:val="0"/>
          <w:numId w:val="1"/>
        </w:numPr>
        <w:spacing w:after="80" w:lineRule="auto"/>
        <w:ind w:left="720" w:hanging="360"/>
      </w:pPr>
      <w:r w:rsidDel="00000000" w:rsidR="00000000" w:rsidRPr="00000000">
        <w:rPr>
          <w:rtl w:val="0"/>
        </w:rPr>
        <w:t xml:space="preserve">Check for Bayh-Dole funding: If 35 USC 202(c)(4) government license exists, applicant qualifies as Small Entity but NOT Micro Entity per 37 CFR 1.29(a)(1), (d)(1)</w:t>
      </w:r>
    </w:p>
    <w:p w:rsidR="00000000" w:rsidDel="00000000" w:rsidP="00000000" w:rsidRDefault="00000000" w:rsidRPr="00000000" w14:paraId="00000053">
      <w:pPr>
        <w:numPr>
          <w:ilvl w:val="0"/>
          <w:numId w:val="1"/>
        </w:numPr>
        <w:spacing w:after="120" w:lineRule="auto"/>
        <w:ind w:left="720" w:hanging="360"/>
      </w:pPr>
      <w:r w:rsidDel="00000000" w:rsidR="00000000" w:rsidRPr="00000000">
        <w:rPr>
          <w:rtl w:val="0"/>
        </w:rPr>
        <w:t xml:space="preserve">If Higher Ed path qualifies without government exception: Micro Entity ($65) via Form PTO/SB/15B</w:t>
      </w:r>
    </w:p>
    <w:p w:rsidR="00000000" w:rsidDel="00000000" w:rsidP="00000000" w:rsidRDefault="00000000" w:rsidRPr="00000000" w14:paraId="00000054">
      <w:pPr>
        <w:spacing w:after="120" w:lineRule="auto"/>
        <w:rPr/>
      </w:pP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tl w:val="0"/>
        </w:rPr>
        <w:t xml:space="preserve">3.3 Phase 3: USPTO Patent Center Submission</w:t>
      </w:r>
    </w:p>
    <w:p w:rsidR="00000000" w:rsidDel="00000000" w:rsidP="00000000" w:rsidRDefault="00000000" w:rsidRPr="00000000" w14:paraId="00000056">
      <w:pPr>
        <w:spacing w:after="120" w:lineRule="auto"/>
        <w:rPr/>
      </w:pPr>
      <w:r w:rsidDel="00000000" w:rsidR="00000000" w:rsidRPr="00000000">
        <w:rPr>
          <w:rtl w:val="0"/>
        </w:rPr>
        <w:t xml:space="preserve">All filings are submitted electronically via USPTO Patent Center (https://patentcenter.uspto.gov). The submission process is identical for all segments:</w:t>
      </w:r>
    </w:p>
    <w:p w:rsidR="00000000" w:rsidDel="00000000" w:rsidP="00000000" w:rsidRDefault="00000000" w:rsidRPr="00000000" w14:paraId="00000057">
      <w:pPr>
        <w:spacing w:after="120" w:lineRule="auto"/>
        <w:rPr/>
      </w:pPr>
      <w:r w:rsidDel="00000000" w:rsidR="00000000" w:rsidRPr="00000000">
        <w:rPr>
          <w:rtl w:val="0"/>
        </w:rPr>
      </w:r>
    </w:p>
    <w:p w:rsidR="00000000" w:rsidDel="00000000" w:rsidP="00000000" w:rsidRDefault="00000000" w:rsidRPr="00000000" w14:paraId="00000058">
      <w:pPr>
        <w:numPr>
          <w:ilvl w:val="0"/>
          <w:numId w:val="2"/>
        </w:numPr>
        <w:spacing w:after="80" w:lineRule="auto"/>
        <w:ind w:left="720" w:hanging="360"/>
      </w:pPr>
      <w:r w:rsidDel="00000000" w:rsidR="00000000" w:rsidRPr="00000000">
        <w:rPr>
          <w:rtl w:val="0"/>
        </w:rPr>
        <w:t xml:space="preserve"> Authenticate with USPTO.gov account</w:t>
      </w:r>
    </w:p>
    <w:p w:rsidR="00000000" w:rsidDel="00000000" w:rsidP="00000000" w:rsidRDefault="00000000" w:rsidRPr="00000000" w14:paraId="00000059">
      <w:pPr>
        <w:numPr>
          <w:ilvl w:val="0"/>
          <w:numId w:val="2"/>
        </w:numPr>
        <w:spacing w:after="80" w:lineRule="auto"/>
        <w:ind w:left="720" w:hanging="360"/>
      </w:pPr>
      <w:r w:rsidDel="00000000" w:rsidR="00000000" w:rsidRPr="00000000">
        <w:rPr>
          <w:rFonts w:ascii="Arial Unicode MS" w:cs="Arial Unicode MS" w:eastAsia="Arial Unicode MS" w:hAnsi="Arial Unicode MS"/>
          <w:rtl w:val="0"/>
        </w:rPr>
        <w:t xml:space="preserve"> Navigate to New Submissions → Utility Provisional</w:t>
      </w:r>
    </w:p>
    <w:p w:rsidR="00000000" w:rsidDel="00000000" w:rsidP="00000000" w:rsidRDefault="00000000" w:rsidRPr="00000000" w14:paraId="0000005A">
      <w:pPr>
        <w:numPr>
          <w:ilvl w:val="0"/>
          <w:numId w:val="2"/>
        </w:numPr>
        <w:spacing w:after="80" w:lineRule="auto"/>
        <w:ind w:left="720" w:hanging="360"/>
      </w:pPr>
      <w:r w:rsidDel="00000000" w:rsidR="00000000" w:rsidRPr="00000000">
        <w:rPr>
          <w:rtl w:val="0"/>
        </w:rPr>
        <w:t xml:space="preserve"> Upload specification PDF (from upstream)</w:t>
      </w:r>
    </w:p>
    <w:p w:rsidR="00000000" w:rsidDel="00000000" w:rsidP="00000000" w:rsidRDefault="00000000" w:rsidRPr="00000000" w14:paraId="0000005B">
      <w:pPr>
        <w:numPr>
          <w:ilvl w:val="0"/>
          <w:numId w:val="2"/>
        </w:numPr>
        <w:spacing w:after="80" w:lineRule="auto"/>
        <w:ind w:left="720" w:hanging="360"/>
      </w:pPr>
      <w:r w:rsidDel="00000000" w:rsidR="00000000" w:rsidRPr="00000000">
        <w:rPr>
          <w:rtl w:val="0"/>
        </w:rPr>
        <w:t xml:space="preserve"> Upload drawings PDF (from upstream)</w:t>
      </w:r>
    </w:p>
    <w:p w:rsidR="00000000" w:rsidDel="00000000" w:rsidP="00000000" w:rsidRDefault="00000000" w:rsidRPr="00000000" w14:paraId="0000005C">
      <w:pPr>
        <w:numPr>
          <w:ilvl w:val="0"/>
          <w:numId w:val="2"/>
        </w:numPr>
        <w:spacing w:after="80" w:lineRule="auto"/>
        <w:ind w:left="720" w:hanging="360"/>
      </w:pPr>
      <w:r w:rsidDel="00000000" w:rsidR="00000000" w:rsidRPr="00000000">
        <w:rPr>
          <w:rtl w:val="0"/>
        </w:rPr>
        <w:t xml:space="preserve"> Upload Form PTO/SB/16 (Cover Sheet)</w:t>
      </w:r>
    </w:p>
    <w:p w:rsidR="00000000" w:rsidDel="00000000" w:rsidP="00000000" w:rsidRDefault="00000000" w:rsidRPr="00000000" w14:paraId="0000005D">
      <w:pPr>
        <w:numPr>
          <w:ilvl w:val="0"/>
          <w:numId w:val="2"/>
        </w:numPr>
        <w:spacing w:after="80" w:lineRule="auto"/>
        <w:ind w:left="720" w:hanging="360"/>
      </w:pPr>
      <w:r w:rsidDel="00000000" w:rsidR="00000000" w:rsidRPr="00000000">
        <w:rPr>
          <w:rtl w:val="0"/>
        </w:rPr>
        <w:t xml:space="preserve"> Upload Form PTO/SB/15A or 15B (if Micro Entity)</w:t>
      </w:r>
    </w:p>
    <w:p w:rsidR="00000000" w:rsidDel="00000000" w:rsidP="00000000" w:rsidRDefault="00000000" w:rsidRPr="00000000" w14:paraId="0000005E">
      <w:pPr>
        <w:numPr>
          <w:ilvl w:val="0"/>
          <w:numId w:val="2"/>
        </w:numPr>
        <w:spacing w:after="80" w:lineRule="auto"/>
        <w:ind w:left="720" w:hanging="360"/>
      </w:pPr>
      <w:r w:rsidDel="00000000" w:rsidR="00000000" w:rsidRPr="00000000">
        <w:rPr>
          <w:rtl w:val="0"/>
        </w:rPr>
        <w:t xml:space="preserve"> Enter bibliographic data (inventor names, addresses, title)</w:t>
      </w:r>
    </w:p>
    <w:p w:rsidR="00000000" w:rsidDel="00000000" w:rsidP="00000000" w:rsidRDefault="00000000" w:rsidRPr="00000000" w14:paraId="0000005F">
      <w:pPr>
        <w:numPr>
          <w:ilvl w:val="0"/>
          <w:numId w:val="2"/>
        </w:numPr>
        <w:spacing w:after="80" w:lineRule="auto"/>
        <w:ind w:left="720" w:hanging="360"/>
      </w:pPr>
      <w:r w:rsidDel="00000000" w:rsidR="00000000" w:rsidRPr="00000000">
        <w:rPr>
          <w:rtl w:val="0"/>
        </w:rPr>
        <w:t xml:space="preserve"> Select entity status</w:t>
      </w:r>
    </w:p>
    <w:p w:rsidR="00000000" w:rsidDel="00000000" w:rsidP="00000000" w:rsidRDefault="00000000" w:rsidRPr="00000000" w14:paraId="00000060">
      <w:pPr>
        <w:numPr>
          <w:ilvl w:val="0"/>
          <w:numId w:val="2"/>
        </w:numPr>
        <w:spacing w:after="80" w:lineRule="auto"/>
        <w:ind w:left="720" w:hanging="360"/>
      </w:pPr>
      <w:r w:rsidDel="00000000" w:rsidR="00000000" w:rsidRPr="00000000">
        <w:rPr>
          <w:rtl w:val="0"/>
        </w:rPr>
        <w:t xml:space="preserve"> Pay filing fee (credit card, deposit account, or EFT)</w:t>
      </w:r>
    </w:p>
    <w:p w:rsidR="00000000" w:rsidDel="00000000" w:rsidP="00000000" w:rsidRDefault="00000000" w:rsidRPr="00000000" w14:paraId="00000061">
      <w:pPr>
        <w:numPr>
          <w:ilvl w:val="0"/>
          <w:numId w:val="2"/>
        </w:numPr>
        <w:spacing w:after="120" w:lineRule="auto"/>
        <w:ind w:left="720" w:hanging="360"/>
      </w:pPr>
      <w:r w:rsidDel="00000000" w:rsidR="00000000" w:rsidRPr="00000000">
        <w:rPr>
          <w:rtl w:val="0"/>
        </w:rPr>
        <w:t xml:space="preserve"> Submit and receive electronic acknowledgment</w:t>
      </w:r>
    </w:p>
    <w:p w:rsidR="00000000" w:rsidDel="00000000" w:rsidP="00000000" w:rsidRDefault="00000000" w:rsidRPr="00000000" w14:paraId="00000062">
      <w:pPr>
        <w:spacing w:after="120" w:lineRule="auto"/>
        <w:rPr/>
      </w:pP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b w:val="1"/>
          <w:bCs w:val="1"/>
          <w:rtl w:val="0"/>
        </w:rPr>
        <w:t xml:space="preserve">Output: </w:t>
      </w:r>
      <w:r w:rsidDel="00000000" w:rsidR="00000000" w:rsidRPr="00000000">
        <w:rPr>
          <w:rtl w:val="0"/>
        </w:rPr>
        <w:t xml:space="preserve">Filing receipt containing filing date, application number, and confirmation number.</w:t>
      </w:r>
    </w:p>
    <w:p w:rsidR="00000000" w:rsidDel="00000000" w:rsidP="00000000" w:rsidRDefault="00000000" w:rsidRPr="00000000" w14:paraId="00000064">
      <w:pPr>
        <w:spacing w:after="120" w:lineRule="auto"/>
        <w:rPr/>
      </w:pP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tl w:val="0"/>
        </w:rPr>
        <w:t xml:space="preserve">3.4 Phase 4: Post-Filing Actions</w:t>
      </w:r>
    </w:p>
    <w:p w:rsidR="00000000" w:rsidDel="00000000" w:rsidP="00000000" w:rsidRDefault="00000000" w:rsidRPr="00000000" w14:paraId="00000066">
      <w:pPr>
        <w:spacing w:after="120" w:lineRule="auto"/>
        <w:rPr/>
      </w:pPr>
      <w:r w:rsidDel="00000000" w:rsidR="00000000" w:rsidRPr="00000000">
        <w:rPr>
          <w:rtl w:val="0"/>
        </w:rPr>
        <w:t xml:space="preserve">After successful filing, the following actions are triggered:</w:t>
      </w:r>
    </w:p>
    <w:p w:rsidR="00000000" w:rsidDel="00000000" w:rsidP="00000000" w:rsidRDefault="00000000" w:rsidRPr="00000000" w14:paraId="00000067">
      <w:pPr>
        <w:spacing w:after="120" w:lineRule="auto"/>
        <w:rPr/>
      </w:pPr>
      <w:r w:rsidDel="00000000" w:rsidR="00000000" w:rsidRPr="00000000">
        <w:rPr>
          <w:rtl w:val="0"/>
        </w:rPr>
      </w:r>
    </w:p>
    <w:p w:rsidR="00000000" w:rsidDel="00000000" w:rsidP="00000000" w:rsidRDefault="00000000" w:rsidRPr="00000000" w14:paraId="00000068">
      <w:pPr>
        <w:numPr>
          <w:ilvl w:val="0"/>
          <w:numId w:val="3"/>
        </w:numPr>
        <w:spacing w:after="80" w:lineRule="auto"/>
        <w:ind w:left="720" w:hanging="360"/>
      </w:pPr>
      <w:r w:rsidDel="00000000" w:rsidR="00000000" w:rsidRPr="00000000">
        <w:rPr>
          <w:rtl w:val="0"/>
        </w:rPr>
        <w:t xml:space="preserve">Store filing receipt and confirmation in user's Filing Ready dashboard</w:t>
      </w:r>
    </w:p>
    <w:p w:rsidR="00000000" w:rsidDel="00000000" w:rsidP="00000000" w:rsidRDefault="00000000" w:rsidRPr="00000000" w14:paraId="00000069">
      <w:pPr>
        <w:numPr>
          <w:ilvl w:val="0"/>
          <w:numId w:val="3"/>
        </w:numPr>
        <w:spacing w:after="80" w:lineRule="auto"/>
        <w:ind w:left="720" w:hanging="360"/>
      </w:pPr>
      <w:r w:rsidDel="00000000" w:rsidR="00000000" w:rsidRPr="00000000">
        <w:rPr>
          <w:rtl w:val="0"/>
        </w:rPr>
        <w:t xml:space="preserve">Set reminder at 6 months: Conversion planning checkpoint</w:t>
      </w:r>
    </w:p>
    <w:p w:rsidR="00000000" w:rsidDel="00000000" w:rsidP="00000000" w:rsidRDefault="00000000" w:rsidRPr="00000000" w14:paraId="0000006A">
      <w:pPr>
        <w:numPr>
          <w:ilvl w:val="0"/>
          <w:numId w:val="3"/>
        </w:numPr>
        <w:spacing w:after="80" w:lineRule="auto"/>
        <w:ind w:left="720" w:hanging="360"/>
      </w:pPr>
      <w:r w:rsidDel="00000000" w:rsidR="00000000" w:rsidRPr="00000000">
        <w:rPr>
          <w:rtl w:val="0"/>
        </w:rPr>
        <w:t xml:space="preserve">Set reminder at 9 months: Non-provisional preparation deadline</w:t>
      </w:r>
    </w:p>
    <w:p w:rsidR="00000000" w:rsidDel="00000000" w:rsidP="00000000" w:rsidRDefault="00000000" w:rsidRPr="00000000" w14:paraId="0000006B">
      <w:pPr>
        <w:numPr>
          <w:ilvl w:val="0"/>
          <w:numId w:val="3"/>
        </w:numPr>
        <w:spacing w:after="80" w:lineRule="auto"/>
        <w:ind w:left="720" w:hanging="360"/>
      </w:pPr>
      <w:r w:rsidDel="00000000" w:rsidR="00000000" w:rsidRPr="00000000">
        <w:rPr>
          <w:rtl w:val="0"/>
        </w:rPr>
        <w:t xml:space="preserve">Set reminder at 11 months: Final conversion deadline warning</w:t>
      </w:r>
    </w:p>
    <w:p w:rsidR="00000000" w:rsidDel="00000000" w:rsidP="00000000" w:rsidRDefault="00000000" w:rsidRPr="00000000" w14:paraId="0000006C">
      <w:pPr>
        <w:numPr>
          <w:ilvl w:val="0"/>
          <w:numId w:val="3"/>
        </w:numPr>
        <w:spacing w:after="120" w:lineRule="auto"/>
        <w:ind w:left="720" w:hanging="360"/>
      </w:pPr>
      <w:r w:rsidDel="00000000" w:rsidR="00000000" w:rsidRPr="00000000">
        <w:rPr>
          <w:rtl w:val="0"/>
        </w:rPr>
        <w:t xml:space="preserve">Track 12-month absolute deadline: Priority date expires if non-provisional not filed</w:t>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tl w:val="0"/>
        </w:rPr>
        <w:t xml:space="preserve">4. Industry-Specific Specification Scrutiny</w:t>
      </w:r>
    </w:p>
    <w:p w:rsidR="00000000" w:rsidDel="00000000" w:rsidP="00000000" w:rsidRDefault="00000000" w:rsidRPr="00000000" w14:paraId="0000006F">
      <w:pPr>
        <w:spacing w:after="120" w:lineRule="auto"/>
        <w:rPr/>
      </w:pPr>
      <w:r w:rsidDel="00000000" w:rsidR="00000000" w:rsidRPr="00000000">
        <w:rPr>
          <w:rtl w:val="0"/>
        </w:rPr>
        <w:t xml:space="preserve">While the filing structure is universal, the specification document faces different scrutiny standards depending on the technical field. The enablement requirement under 35 USC 112(a) demands that a person skilled in the art can make and use the invention without undue experimentation. What constitutes 'sufficient disclosure' varies significantly by industry.</w:t>
      </w:r>
    </w:p>
    <w:p w:rsidR="00000000" w:rsidDel="00000000" w:rsidP="00000000" w:rsidRDefault="00000000" w:rsidRPr="00000000" w14:paraId="00000070">
      <w:pPr>
        <w:spacing w:after="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c5aa0"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b w:val="1"/>
                <w:bCs w:val="1"/>
                <w:color w:val="ffffff"/>
                <w:sz w:val="20"/>
                <w:szCs w:val="20"/>
                <w:rtl w:val="0"/>
              </w:rPr>
              <w:t xml:space="preserve">Industry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5aa0"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b w:val="1"/>
                <w:bCs w:val="1"/>
                <w:color w:val="ffffff"/>
                <w:sz w:val="20"/>
                <w:szCs w:val="20"/>
                <w:rtl w:val="0"/>
              </w:rPr>
              <w:t xml:space="preserve">Enablement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5aa0"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b w:val="1"/>
                <w:bCs w:val="1"/>
                <w:color w:val="ffffff"/>
                <w:sz w:val="20"/>
                <w:szCs w:val="20"/>
                <w:rtl w:val="0"/>
              </w:rPr>
              <w:t xml:space="preserve">Critical Specification Elements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b w:val="1"/>
                <w:bCs w:val="1"/>
                <w:sz w:val="20"/>
                <w:szCs w:val="20"/>
                <w:rtl w:val="0"/>
              </w:rPr>
              <w:t xml:space="preserve">Pharmaceuticals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sz w:val="20"/>
                <w:szCs w:val="20"/>
                <w:rtl w:val="0"/>
              </w:rPr>
              <w:t xml:space="preserve">HIGHEST - Often requires experimental data demonstrating efficacy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sz w:val="20"/>
                <w:szCs w:val="20"/>
                <w:rtl w:val="0"/>
              </w:rPr>
              <w:t xml:space="preserve">Chemical structures, synthesis routes, formulations, dosage ranges, mechanism of action, in vitro/in vivo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b w:val="1"/>
                <w:bCs w:val="1"/>
                <w:sz w:val="20"/>
                <w:szCs w:val="20"/>
                <w:rtl w:val="0"/>
              </w:rPr>
              <w:t xml:space="preserve">Semiconductors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sz w:val="20"/>
                <w:szCs w:val="20"/>
                <w:rtl w:val="0"/>
              </w:rPr>
              <w:t xml:space="preserve">HIGH - Detailed process parameters and device architectures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sz w:val="20"/>
                <w:szCs w:val="20"/>
                <w:rtl w:val="0"/>
              </w:rPr>
              <w:t xml:space="preserve">Process parameters, layer thicknesses, materials, doping concentrations, fabrication sequences, characterization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b w:val="1"/>
                <w:bCs w:val="1"/>
                <w:sz w:val="20"/>
                <w:szCs w:val="20"/>
                <w:rtl w:val="0"/>
              </w:rPr>
              <w:t xml:space="preserve">Materials Science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sz w:val="20"/>
                <w:szCs w:val="20"/>
                <w:rtl w:val="0"/>
              </w:rPr>
              <w:t xml:space="preserve">HIGH - Composition ranges and processing conditions essential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sz w:val="20"/>
                <w:szCs w:val="20"/>
                <w:rtl w:val="0"/>
              </w:rPr>
              <w:t xml:space="preserve">Composition ranges, processing temperatures/pressures, microstructure characterization, property measurements</w:t>
            </w:r>
            <w:r w:rsidDel="00000000" w:rsidR="00000000" w:rsidRPr="00000000">
              <w:rPr>
                <w:rtl w:val="0"/>
              </w:rPr>
            </w:r>
          </w:p>
        </w:tc>
      </w:tr>
    </w:tbl>
    <w:p w:rsidR="00000000" w:rsidDel="00000000" w:rsidP="00000000" w:rsidRDefault="00000000" w:rsidRPr="00000000" w14:paraId="0000007D">
      <w:pPr>
        <w:spacing w:after="120" w:lineRule="auto"/>
        <w:rPr/>
      </w:pP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tl w:val="0"/>
        </w:rPr>
        <w:t xml:space="preserve">4.0 Key USPTO/MPEP References for Enablement</w:t>
      </w:r>
    </w:p>
    <w:p w:rsidR="00000000" w:rsidDel="00000000" w:rsidP="00000000" w:rsidRDefault="00000000" w:rsidRPr="00000000" w14:paraId="0000007F">
      <w:pPr>
        <w:spacing w:after="120" w:lineRule="auto"/>
        <w:rPr/>
      </w:pPr>
      <w:r w:rsidDel="00000000" w:rsidR="00000000" w:rsidRPr="00000000">
        <w:rPr>
          <w:rtl w:val="0"/>
        </w:rPr>
        <w:t xml:space="preserve">The following MPEP sections and case law govern enablement analysis across all industries:</w:t>
      </w:r>
    </w:p>
    <w:p w:rsidR="00000000" w:rsidDel="00000000" w:rsidP="00000000" w:rsidRDefault="00000000" w:rsidRPr="00000000" w14:paraId="00000080">
      <w:pPr>
        <w:spacing w:after="120" w:lineRule="auto"/>
        <w:rPr/>
      </w:pPr>
      <w:r w:rsidDel="00000000" w:rsidR="00000000" w:rsidRPr="00000000">
        <w:rPr>
          <w:rtl w:val="0"/>
        </w:rPr>
      </w:r>
    </w:p>
    <w:p w:rsidR="00000000" w:rsidDel="00000000" w:rsidP="00000000" w:rsidRDefault="00000000" w:rsidRPr="00000000" w14:paraId="00000081">
      <w:pPr>
        <w:numPr>
          <w:ilvl w:val="0"/>
          <w:numId w:val="4"/>
        </w:numPr>
        <w:spacing w:after="80" w:lineRule="auto"/>
        <w:ind w:left="720" w:hanging="360"/>
      </w:pPr>
      <w:r w:rsidDel="00000000" w:rsidR="00000000" w:rsidRPr="00000000">
        <w:rPr>
          <w:rtl w:val="0"/>
        </w:rPr>
        <w:t xml:space="preserve">MPEP § 2164 - The Enablement Requirement (35 USC 112(a))</w:t>
      </w:r>
    </w:p>
    <w:p w:rsidR="00000000" w:rsidDel="00000000" w:rsidP="00000000" w:rsidRDefault="00000000" w:rsidRPr="00000000" w14:paraId="00000082">
      <w:pPr>
        <w:numPr>
          <w:ilvl w:val="0"/>
          <w:numId w:val="4"/>
        </w:numPr>
        <w:spacing w:after="80" w:lineRule="auto"/>
        <w:ind w:left="720" w:hanging="360"/>
      </w:pPr>
      <w:r w:rsidDel="00000000" w:rsidR="00000000" w:rsidRPr="00000000">
        <w:rPr>
          <w:rtl w:val="0"/>
        </w:rPr>
        <w:t xml:space="preserve">MPEP § 2164.01 - Test of Enablement (undue experimentation standard)</w:t>
      </w:r>
    </w:p>
    <w:p w:rsidR="00000000" w:rsidDel="00000000" w:rsidP="00000000" w:rsidRDefault="00000000" w:rsidRPr="00000000" w14:paraId="00000083">
      <w:pPr>
        <w:numPr>
          <w:ilvl w:val="0"/>
          <w:numId w:val="4"/>
        </w:numPr>
        <w:spacing w:after="80" w:lineRule="auto"/>
        <w:ind w:left="720" w:hanging="360"/>
      </w:pPr>
      <w:r w:rsidDel="00000000" w:rsidR="00000000" w:rsidRPr="00000000">
        <w:rPr>
          <w:rtl w:val="0"/>
        </w:rPr>
        <w:t xml:space="preserve">MPEP § 2164.01(a) - Wands Factors (8-factor framework from In re Wands, 858 F.2d 731)</w:t>
      </w:r>
    </w:p>
    <w:p w:rsidR="00000000" w:rsidDel="00000000" w:rsidP="00000000" w:rsidRDefault="00000000" w:rsidRPr="00000000" w14:paraId="00000084">
      <w:pPr>
        <w:numPr>
          <w:ilvl w:val="0"/>
          <w:numId w:val="4"/>
        </w:numPr>
        <w:spacing w:after="80" w:lineRule="auto"/>
        <w:ind w:left="720" w:hanging="360"/>
      </w:pPr>
      <w:r w:rsidDel="00000000" w:rsidR="00000000" w:rsidRPr="00000000">
        <w:rPr>
          <w:rtl w:val="0"/>
        </w:rPr>
        <w:t xml:space="preserve">MPEP § 2164.03 - Predictability of the Art (predictable vs. unpredictable arts)</w:t>
      </w:r>
    </w:p>
    <w:p w:rsidR="00000000" w:rsidDel="00000000" w:rsidP="00000000" w:rsidRDefault="00000000" w:rsidRPr="00000000" w14:paraId="00000085">
      <w:pPr>
        <w:numPr>
          <w:ilvl w:val="0"/>
          <w:numId w:val="4"/>
        </w:numPr>
        <w:spacing w:after="80" w:lineRule="auto"/>
        <w:ind w:left="720" w:hanging="360"/>
      </w:pPr>
      <w:r w:rsidDel="00000000" w:rsidR="00000000" w:rsidRPr="00000000">
        <w:rPr>
          <w:rtl w:val="0"/>
        </w:rPr>
        <w:t xml:space="preserve">MPEP § 2164.06(a) - Missing Information examples</w:t>
      </w:r>
    </w:p>
    <w:p w:rsidR="00000000" w:rsidDel="00000000" w:rsidP="00000000" w:rsidRDefault="00000000" w:rsidRPr="00000000" w14:paraId="00000086">
      <w:pPr>
        <w:numPr>
          <w:ilvl w:val="0"/>
          <w:numId w:val="4"/>
        </w:numPr>
        <w:spacing w:after="80" w:lineRule="auto"/>
        <w:ind w:left="720" w:hanging="360"/>
      </w:pPr>
      <w:r w:rsidDel="00000000" w:rsidR="00000000" w:rsidRPr="00000000">
        <w:rPr>
          <w:rtl w:val="0"/>
        </w:rPr>
        <w:t xml:space="preserve">MPEP § 2164.06(b) - Biological and Chemical Cases examples</w:t>
      </w:r>
    </w:p>
    <w:p w:rsidR="00000000" w:rsidDel="00000000" w:rsidP="00000000" w:rsidRDefault="00000000" w:rsidRPr="00000000" w14:paraId="00000087">
      <w:pPr>
        <w:numPr>
          <w:ilvl w:val="0"/>
          <w:numId w:val="4"/>
        </w:numPr>
        <w:spacing w:after="80" w:lineRule="auto"/>
        <w:ind w:left="720" w:hanging="360"/>
      </w:pPr>
      <w:r w:rsidDel="00000000" w:rsidR="00000000" w:rsidRPr="00000000">
        <w:rPr>
          <w:rtl w:val="0"/>
        </w:rPr>
        <w:t xml:space="preserve">MPEP § 2163 - Written Description Requirement (possession of invention)</w:t>
      </w:r>
    </w:p>
    <w:p w:rsidR="00000000" w:rsidDel="00000000" w:rsidP="00000000" w:rsidRDefault="00000000" w:rsidRPr="00000000" w14:paraId="00000088">
      <w:pPr>
        <w:numPr>
          <w:ilvl w:val="0"/>
          <w:numId w:val="4"/>
        </w:numPr>
        <w:spacing w:after="120" w:lineRule="auto"/>
        <w:ind w:left="720" w:hanging="360"/>
      </w:pPr>
      <w:r w:rsidDel="00000000" w:rsidR="00000000" w:rsidRPr="00000000">
        <w:rPr>
          <w:rtl w:val="0"/>
        </w:rPr>
        <w:t xml:space="preserve">USPTO Guidelines (89 FR 1563, Jan. 10, 2024) - Enablement post-Amgen v. Sanofi</w:t>
      </w:r>
    </w:p>
    <w:p w:rsidR="00000000" w:rsidDel="00000000" w:rsidP="00000000" w:rsidRDefault="00000000" w:rsidRPr="00000000" w14:paraId="00000089">
      <w:pPr>
        <w:spacing w:after="120" w:lineRule="auto"/>
        <w:rPr/>
      </w:pP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t xml:space="preserve">4.1 Pharmaceuticals Scrutiny Checklist</w:t>
      </w:r>
    </w:p>
    <w:p w:rsidR="00000000" w:rsidDel="00000000" w:rsidP="00000000" w:rsidRDefault="00000000" w:rsidRPr="00000000" w14:paraId="0000008B">
      <w:pPr>
        <w:spacing w:after="120" w:lineRule="auto"/>
        <w:rPr/>
      </w:pPr>
      <w:r w:rsidDel="00000000" w:rsidR="00000000" w:rsidRPr="00000000">
        <w:rPr>
          <w:rtl w:val="0"/>
        </w:rPr>
        <w:t xml:space="preserve">Pharmaceutical specifications face the highest enablement bar due to the unpredictable nature of chemical and physiological activity. The upstream specification must be verified against the following criteria before filing.</w:t>
      </w:r>
    </w:p>
    <w:p w:rsidR="00000000" w:rsidDel="00000000" w:rsidP="00000000" w:rsidRDefault="00000000" w:rsidRPr="00000000" w14:paraId="0000008C">
      <w:pPr>
        <w:spacing w:after="120" w:lineRule="auto"/>
        <w:rPr/>
      </w:pP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b w:val="1"/>
          <w:bCs w:val="1"/>
          <w:rtl w:val="0"/>
        </w:rPr>
        <w:t xml:space="preserve">USPTO References: </w:t>
      </w:r>
      <w:r w:rsidDel="00000000" w:rsidR="00000000" w:rsidRPr="00000000">
        <w:rPr>
          <w:rtl w:val="0"/>
        </w:rPr>
        <w:t xml:space="preserve">MPEP § 2164.03 (Predictability of the Art); MPEP § 2164.06(b) (Biological and Chemical Cases); MPEP § 2163 (Written Description); Ariad Pharmaceuticals v. Eli Lilly, 598 F.3d 1336 (Fed. Cir. 2010) (written description for genus claims); Amgen Inc. v. Sanofi, 598 U.S. 594 (2023) (enablement for functional claims).</w:t>
      </w:r>
    </w:p>
    <w:p w:rsidR="00000000" w:rsidDel="00000000" w:rsidP="00000000" w:rsidRDefault="00000000" w:rsidRPr="00000000" w14:paraId="0000008E">
      <w:pPr>
        <w:spacing w:after="120" w:lineRule="auto"/>
        <w:rPr/>
      </w:pP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rtl w:val="0"/>
        </w:rPr>
        <w:t xml:space="preserve">Per MPEP § 2164.03: "In cases involving unpredictable factors, such as most chemical reactions and physiological activity, more may be required." Pharmaceutical inventions require disclosure of actual experimental data or detailed prophetic examples to satisfy enablement.</w:t>
      </w:r>
    </w:p>
    <w:p w:rsidR="00000000" w:rsidDel="00000000" w:rsidP="00000000" w:rsidRDefault="00000000" w:rsidRPr="00000000" w14:paraId="00000090">
      <w:pPr>
        <w:spacing w:after="120" w:lineRule="auto"/>
        <w:rPr/>
      </w:pPr>
      <w:r w:rsidDel="00000000" w:rsidR="00000000" w:rsidRPr="00000000">
        <w:rPr>
          <w:rtl w:val="0"/>
        </w:rPr>
      </w:r>
    </w:p>
    <w:p w:rsidR="00000000" w:rsidDel="00000000" w:rsidP="00000000" w:rsidRDefault="00000000" w:rsidRPr="00000000" w14:paraId="00000091">
      <w:pPr>
        <w:numPr>
          <w:ilvl w:val="0"/>
          <w:numId w:val="4"/>
        </w:numPr>
        <w:spacing w:after="80" w:lineRule="auto"/>
        <w:ind w:left="720" w:hanging="360"/>
      </w:pPr>
      <w:r w:rsidDel="00000000" w:rsidR="00000000" w:rsidRPr="00000000">
        <w:rPr>
          <w:rtl w:val="0"/>
        </w:rPr>
        <w:t xml:space="preserve">Chemical Structure: Complete structural formula with stereochemistry specified</w:t>
      </w:r>
    </w:p>
    <w:p w:rsidR="00000000" w:rsidDel="00000000" w:rsidP="00000000" w:rsidRDefault="00000000" w:rsidRPr="00000000" w14:paraId="00000092">
      <w:pPr>
        <w:numPr>
          <w:ilvl w:val="0"/>
          <w:numId w:val="4"/>
        </w:numPr>
        <w:spacing w:after="80" w:lineRule="auto"/>
        <w:ind w:left="720" w:hanging="360"/>
      </w:pPr>
      <w:r w:rsidDel="00000000" w:rsidR="00000000" w:rsidRPr="00000000">
        <w:rPr>
          <w:rtl w:val="0"/>
        </w:rPr>
        <w:t xml:space="preserve">Synthesis Route: Step-by-step synthetic pathway with reagents, conditions, and yields</w:t>
      </w:r>
    </w:p>
    <w:p w:rsidR="00000000" w:rsidDel="00000000" w:rsidP="00000000" w:rsidRDefault="00000000" w:rsidRPr="00000000" w14:paraId="00000093">
      <w:pPr>
        <w:numPr>
          <w:ilvl w:val="0"/>
          <w:numId w:val="4"/>
        </w:numPr>
        <w:spacing w:after="80" w:lineRule="auto"/>
        <w:ind w:left="720" w:hanging="360"/>
      </w:pPr>
      <w:r w:rsidDel="00000000" w:rsidR="00000000" w:rsidRPr="00000000">
        <w:rPr>
          <w:rtl w:val="0"/>
        </w:rPr>
        <w:t xml:space="preserve">Formulation Details: Excipients, concentrations, delivery mechanisms</w:t>
      </w:r>
    </w:p>
    <w:p w:rsidR="00000000" w:rsidDel="00000000" w:rsidP="00000000" w:rsidRDefault="00000000" w:rsidRPr="00000000" w14:paraId="00000094">
      <w:pPr>
        <w:numPr>
          <w:ilvl w:val="0"/>
          <w:numId w:val="4"/>
        </w:numPr>
        <w:spacing w:after="80" w:lineRule="auto"/>
        <w:ind w:left="720" w:hanging="360"/>
      </w:pPr>
      <w:r w:rsidDel="00000000" w:rsidR="00000000" w:rsidRPr="00000000">
        <w:rPr>
          <w:rtl w:val="0"/>
        </w:rPr>
        <w:t xml:space="preserve">Dosage Information: Therapeutic ranges, administration routes, frequency</w:t>
      </w:r>
    </w:p>
    <w:p w:rsidR="00000000" w:rsidDel="00000000" w:rsidP="00000000" w:rsidRDefault="00000000" w:rsidRPr="00000000" w14:paraId="00000095">
      <w:pPr>
        <w:numPr>
          <w:ilvl w:val="0"/>
          <w:numId w:val="4"/>
        </w:numPr>
        <w:spacing w:after="80" w:lineRule="auto"/>
        <w:ind w:left="720" w:hanging="360"/>
      </w:pPr>
      <w:r w:rsidDel="00000000" w:rsidR="00000000" w:rsidRPr="00000000">
        <w:rPr>
          <w:rtl w:val="0"/>
        </w:rPr>
        <w:t xml:space="preserve">Mechanism of Action: Target identification, binding characteristics, biological pathway</w:t>
      </w:r>
    </w:p>
    <w:p w:rsidR="00000000" w:rsidDel="00000000" w:rsidP="00000000" w:rsidRDefault="00000000" w:rsidRPr="00000000" w14:paraId="00000096">
      <w:pPr>
        <w:numPr>
          <w:ilvl w:val="0"/>
          <w:numId w:val="4"/>
        </w:numPr>
        <w:spacing w:after="80" w:lineRule="auto"/>
        <w:ind w:left="720" w:hanging="360"/>
      </w:pPr>
      <w:r w:rsidDel="00000000" w:rsidR="00000000" w:rsidRPr="00000000">
        <w:rPr>
          <w:rtl w:val="0"/>
        </w:rPr>
        <w:t xml:space="preserve">Experimental Data: In vitro assay results, in vivo efficacy data (if available)</w:t>
      </w:r>
    </w:p>
    <w:p w:rsidR="00000000" w:rsidDel="00000000" w:rsidP="00000000" w:rsidRDefault="00000000" w:rsidRPr="00000000" w14:paraId="00000097">
      <w:pPr>
        <w:numPr>
          <w:ilvl w:val="0"/>
          <w:numId w:val="4"/>
        </w:numPr>
        <w:spacing w:after="120" w:lineRule="auto"/>
        <w:ind w:left="720" w:hanging="360"/>
      </w:pPr>
      <w:r w:rsidDel="00000000" w:rsidR="00000000" w:rsidRPr="00000000">
        <w:rPr>
          <w:rtl w:val="0"/>
        </w:rPr>
        <w:t xml:space="preserve">Prophetic Examples: If experimental data unavailable, detailed prophetic examples with specific parameters</w:t>
      </w:r>
    </w:p>
    <w:p w:rsidR="00000000" w:rsidDel="00000000" w:rsidP="00000000" w:rsidRDefault="00000000" w:rsidRPr="00000000" w14:paraId="00000098">
      <w:pPr>
        <w:spacing w:after="120" w:lineRule="auto"/>
        <w:rPr/>
      </w:pP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rtl w:val="0"/>
        </w:rPr>
        <w:t xml:space="preserve">4.2 Semiconductors Scrutiny Checklist</w:t>
      </w:r>
    </w:p>
    <w:p w:rsidR="00000000" w:rsidDel="00000000" w:rsidP="00000000" w:rsidRDefault="00000000" w:rsidRPr="00000000" w14:paraId="0000009A">
      <w:pPr>
        <w:spacing w:after="120" w:lineRule="auto"/>
        <w:rPr/>
      </w:pPr>
      <w:r w:rsidDel="00000000" w:rsidR="00000000" w:rsidRPr="00000000">
        <w:rPr>
          <w:rtl w:val="0"/>
        </w:rPr>
        <w:t xml:space="preserve">Semiconductor specifications require detailed process parameters and device architectures. While semiconductor fabrication is generally more predictable than pharmaceutical chemistry, the complexity of multi-step processes and the criticality of precise parameters demand comprehensive disclosure.</w:t>
      </w:r>
    </w:p>
    <w:p w:rsidR="00000000" w:rsidDel="00000000" w:rsidP="00000000" w:rsidRDefault="00000000" w:rsidRPr="00000000" w14:paraId="0000009B">
      <w:pPr>
        <w:spacing w:after="120" w:lineRule="auto"/>
        <w:rPr/>
      </w:pP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b w:val="1"/>
          <w:bCs w:val="1"/>
          <w:rtl w:val="0"/>
        </w:rPr>
        <w:t xml:space="preserve">USPTO References: </w:t>
      </w:r>
      <w:r w:rsidDel="00000000" w:rsidR="00000000" w:rsidRPr="00000000">
        <w:rPr>
          <w:rtl w:val="0"/>
        </w:rPr>
        <w:t xml:space="preserve">MPEP § 2164.01(a) (Wands Factors); MPEP § 2164.06(a) (Missing Information); MPEP § 2164.03 (Predictability); In re Wands, 858 F.2d 731 (Fed. Cir. 1988); CFMT Inc. v. Yieldup Int'l Corp., 349 F.3d 1333 (Fed. Cir. 2003) (semiconductor wafer system enablement).</w:t>
      </w:r>
    </w:p>
    <w:p w:rsidR="00000000" w:rsidDel="00000000" w:rsidP="00000000" w:rsidRDefault="00000000" w:rsidRPr="00000000" w14:paraId="0000009D">
      <w:pPr>
        <w:spacing w:after="120" w:lineRule="auto"/>
        <w:rPr/>
      </w:pPr>
      <w:r w:rsidDel="00000000" w:rsidR="00000000" w:rsidRPr="00000000">
        <w:rPr>
          <w:rtl w:val="0"/>
        </w:rPr>
      </w:r>
    </w:p>
    <w:p w:rsidR="00000000" w:rsidDel="00000000" w:rsidP="00000000" w:rsidRDefault="00000000" w:rsidRPr="00000000" w14:paraId="0000009E">
      <w:pPr>
        <w:spacing w:after="120" w:lineRule="auto"/>
        <w:rPr/>
      </w:pPr>
      <w:r w:rsidDel="00000000" w:rsidR="00000000" w:rsidRPr="00000000">
        <w:rPr>
          <w:rtl w:val="0"/>
        </w:rPr>
        <w:t xml:space="preserve">Per MPEP § 2164.03: "A single embodiment may provide broad enablement in cases involving predictable factors, such as mechanical or electrical elements." However, semiconductor process variations require sufficient detail. Verify the following elements:</w:t>
      </w:r>
    </w:p>
    <w:p w:rsidR="00000000" w:rsidDel="00000000" w:rsidP="00000000" w:rsidRDefault="00000000" w:rsidRPr="00000000" w14:paraId="0000009F">
      <w:pPr>
        <w:spacing w:after="120" w:lineRule="auto"/>
        <w:rPr/>
      </w:pPr>
      <w:r w:rsidDel="00000000" w:rsidR="00000000" w:rsidRPr="00000000">
        <w:rPr>
          <w:rtl w:val="0"/>
        </w:rPr>
      </w:r>
    </w:p>
    <w:p w:rsidR="00000000" w:rsidDel="00000000" w:rsidP="00000000" w:rsidRDefault="00000000" w:rsidRPr="00000000" w14:paraId="000000A0">
      <w:pPr>
        <w:numPr>
          <w:ilvl w:val="0"/>
          <w:numId w:val="4"/>
        </w:numPr>
        <w:spacing w:after="80" w:lineRule="auto"/>
        <w:ind w:left="720" w:hanging="360"/>
      </w:pPr>
      <w:r w:rsidDel="00000000" w:rsidR="00000000" w:rsidRPr="00000000">
        <w:rPr>
          <w:rtl w:val="0"/>
        </w:rPr>
        <w:t xml:space="preserve">Device Architecture: Layer stack, dimensions, critical feature sizes</w:t>
      </w:r>
    </w:p>
    <w:p w:rsidR="00000000" w:rsidDel="00000000" w:rsidP="00000000" w:rsidRDefault="00000000" w:rsidRPr="00000000" w14:paraId="000000A1">
      <w:pPr>
        <w:numPr>
          <w:ilvl w:val="0"/>
          <w:numId w:val="4"/>
        </w:numPr>
        <w:spacing w:after="80" w:lineRule="auto"/>
        <w:ind w:left="720" w:hanging="360"/>
      </w:pPr>
      <w:r w:rsidDel="00000000" w:rsidR="00000000" w:rsidRPr="00000000">
        <w:rPr>
          <w:rtl w:val="0"/>
        </w:rPr>
        <w:t xml:space="preserve">Materials Specification: Exact materials for each layer, purity requirements</w:t>
      </w:r>
    </w:p>
    <w:p w:rsidR="00000000" w:rsidDel="00000000" w:rsidP="00000000" w:rsidRDefault="00000000" w:rsidRPr="00000000" w14:paraId="000000A2">
      <w:pPr>
        <w:numPr>
          <w:ilvl w:val="0"/>
          <w:numId w:val="4"/>
        </w:numPr>
        <w:spacing w:after="80" w:lineRule="auto"/>
        <w:ind w:left="720" w:hanging="360"/>
      </w:pPr>
      <w:r w:rsidDel="00000000" w:rsidR="00000000" w:rsidRPr="00000000">
        <w:rPr>
          <w:rtl w:val="0"/>
        </w:rPr>
        <w:t xml:space="preserve">Layer Thicknesses: Specific thickness ranges with tolerances</w:t>
      </w:r>
    </w:p>
    <w:p w:rsidR="00000000" w:rsidDel="00000000" w:rsidP="00000000" w:rsidRDefault="00000000" w:rsidRPr="00000000" w14:paraId="000000A3">
      <w:pPr>
        <w:numPr>
          <w:ilvl w:val="0"/>
          <w:numId w:val="4"/>
        </w:numPr>
        <w:spacing w:after="80" w:lineRule="auto"/>
        <w:ind w:left="720" w:hanging="360"/>
      </w:pPr>
      <w:r w:rsidDel="00000000" w:rsidR="00000000" w:rsidRPr="00000000">
        <w:rPr>
          <w:rtl w:val="0"/>
        </w:rPr>
        <w:t xml:space="preserve">Doping Parameters: Dopant species, concentrations, profiles</w:t>
      </w:r>
    </w:p>
    <w:p w:rsidR="00000000" w:rsidDel="00000000" w:rsidP="00000000" w:rsidRDefault="00000000" w:rsidRPr="00000000" w14:paraId="000000A4">
      <w:pPr>
        <w:numPr>
          <w:ilvl w:val="0"/>
          <w:numId w:val="4"/>
        </w:numPr>
        <w:spacing w:after="80" w:lineRule="auto"/>
        <w:ind w:left="720" w:hanging="360"/>
      </w:pPr>
      <w:r w:rsidDel="00000000" w:rsidR="00000000" w:rsidRPr="00000000">
        <w:rPr>
          <w:rtl w:val="0"/>
        </w:rPr>
        <w:t xml:space="preserve">Fabrication Sequence: Step-by-step process flow with equipment types</w:t>
      </w:r>
    </w:p>
    <w:p w:rsidR="00000000" w:rsidDel="00000000" w:rsidP="00000000" w:rsidRDefault="00000000" w:rsidRPr="00000000" w14:paraId="000000A5">
      <w:pPr>
        <w:numPr>
          <w:ilvl w:val="0"/>
          <w:numId w:val="4"/>
        </w:numPr>
        <w:spacing w:after="80" w:lineRule="auto"/>
        <w:ind w:left="720" w:hanging="360"/>
      </w:pPr>
      <w:r w:rsidDel="00000000" w:rsidR="00000000" w:rsidRPr="00000000">
        <w:rPr>
          <w:rtl w:val="0"/>
        </w:rPr>
        <w:t xml:space="preserve">Process Conditions: Temperatures, pressures, times, gas flows for each step</w:t>
      </w:r>
    </w:p>
    <w:p w:rsidR="00000000" w:rsidDel="00000000" w:rsidP="00000000" w:rsidRDefault="00000000" w:rsidRPr="00000000" w14:paraId="000000A6">
      <w:pPr>
        <w:numPr>
          <w:ilvl w:val="0"/>
          <w:numId w:val="4"/>
        </w:numPr>
        <w:spacing w:after="80" w:lineRule="auto"/>
        <w:ind w:left="720" w:hanging="360"/>
      </w:pPr>
      <w:r w:rsidDel="00000000" w:rsidR="00000000" w:rsidRPr="00000000">
        <w:rPr>
          <w:rtl w:val="0"/>
        </w:rPr>
        <w:t xml:space="preserve">Characterization Data: Electrical measurements, imaging results, performance metrics</w:t>
      </w:r>
    </w:p>
    <w:p w:rsidR="00000000" w:rsidDel="00000000" w:rsidP="00000000" w:rsidRDefault="00000000" w:rsidRPr="00000000" w14:paraId="000000A7">
      <w:pPr>
        <w:numPr>
          <w:ilvl w:val="0"/>
          <w:numId w:val="4"/>
        </w:numPr>
        <w:spacing w:after="120" w:lineRule="auto"/>
        <w:ind w:left="720" w:hanging="360"/>
      </w:pPr>
      <w:r w:rsidDel="00000000" w:rsidR="00000000" w:rsidRPr="00000000">
        <w:rPr>
          <w:rtl w:val="0"/>
        </w:rPr>
        <w:t xml:space="preserve">Alternative Embodiments: Variations in materials or process that achieve similar results</w:t>
      </w:r>
    </w:p>
    <w:p w:rsidR="00000000" w:rsidDel="00000000" w:rsidP="00000000" w:rsidRDefault="00000000" w:rsidRPr="00000000" w14:paraId="000000A8">
      <w:pPr>
        <w:spacing w:after="120" w:lineRule="auto"/>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4.3 Materials Science Scrutiny Checklist</w:t>
      </w:r>
    </w:p>
    <w:p w:rsidR="00000000" w:rsidDel="00000000" w:rsidP="00000000" w:rsidRDefault="00000000" w:rsidRPr="00000000" w14:paraId="000000AA">
      <w:pPr>
        <w:spacing w:after="120" w:lineRule="auto"/>
        <w:rPr/>
      </w:pPr>
      <w:r w:rsidDel="00000000" w:rsidR="00000000" w:rsidRPr="00000000">
        <w:rPr>
          <w:rtl w:val="0"/>
        </w:rPr>
        <w:t xml:space="preserve">Materials science specifications must provide reproducible composition and processing information. Materials science occupies a middle ground between predictable mechanical arts and unpredictable chemical arts, requiring detailed disclosure of composition ranges and processing conditions.</w:t>
      </w:r>
    </w:p>
    <w:p w:rsidR="00000000" w:rsidDel="00000000" w:rsidP="00000000" w:rsidRDefault="00000000" w:rsidRPr="00000000" w14:paraId="000000AB">
      <w:pPr>
        <w:spacing w:after="120" w:lineRule="auto"/>
        <w:rPr/>
      </w:pPr>
      <w:r w:rsidDel="00000000" w:rsidR="00000000" w:rsidRPr="00000000">
        <w:rPr>
          <w:rtl w:val="0"/>
        </w:rPr>
      </w:r>
    </w:p>
    <w:p w:rsidR="00000000" w:rsidDel="00000000" w:rsidP="00000000" w:rsidRDefault="00000000" w:rsidRPr="00000000" w14:paraId="000000AC">
      <w:pPr>
        <w:spacing w:after="120" w:lineRule="auto"/>
        <w:rPr/>
      </w:pPr>
      <w:r w:rsidDel="00000000" w:rsidR="00000000" w:rsidRPr="00000000">
        <w:rPr>
          <w:b w:val="1"/>
          <w:bCs w:val="1"/>
          <w:rtl w:val="0"/>
        </w:rPr>
        <w:t xml:space="preserve">USPTO References: </w:t>
      </w:r>
      <w:r w:rsidDel="00000000" w:rsidR="00000000" w:rsidRPr="00000000">
        <w:rPr>
          <w:rtl w:val="0"/>
        </w:rPr>
        <w:t xml:space="preserve">MPEP § 2164.03 (Predictability); MPEP § 2164.06(b) (Chemical Cases); MPEP § 2164.02 (Working Examples); In re Fisher, 427 F.2d 833 (CCPA 1970) (chemical unpredictability); PPG Indus. v. Guardian Indus., 75 F.3d 1558 (Fed. Cir. 1996) (glass composition enablement).</w:t>
      </w:r>
    </w:p>
    <w:p w:rsidR="00000000" w:rsidDel="00000000" w:rsidP="00000000" w:rsidRDefault="00000000" w:rsidRPr="00000000" w14:paraId="000000AD">
      <w:pPr>
        <w:spacing w:after="120" w:lineRule="auto"/>
        <w:rPr/>
      </w:pPr>
      <w:r w:rsidDel="00000000" w:rsidR="00000000" w:rsidRPr="00000000">
        <w:rPr>
          <w:rtl w:val="0"/>
        </w:rPr>
      </w:r>
    </w:p>
    <w:p w:rsidR="00000000" w:rsidDel="00000000" w:rsidP="00000000" w:rsidRDefault="00000000" w:rsidRPr="00000000" w14:paraId="000000AE">
      <w:pPr>
        <w:spacing w:after="120" w:lineRule="auto"/>
        <w:rPr/>
      </w:pPr>
      <w:r w:rsidDel="00000000" w:rsidR="00000000" w:rsidRPr="00000000">
        <w:rPr>
          <w:rtl w:val="0"/>
        </w:rPr>
        <w:t xml:space="preserve">Per MPEP § 2164.06(b), chemical composition cases often require multiple working examples demonstrating the claimed ranges. Verify the following elements:</w:t>
      </w:r>
    </w:p>
    <w:p w:rsidR="00000000" w:rsidDel="00000000" w:rsidP="00000000" w:rsidRDefault="00000000" w:rsidRPr="00000000" w14:paraId="000000AF">
      <w:pPr>
        <w:spacing w:after="120" w:lineRule="auto"/>
        <w:rPr/>
      </w:pPr>
      <w:r w:rsidDel="00000000" w:rsidR="00000000" w:rsidRPr="00000000">
        <w:rPr>
          <w:rtl w:val="0"/>
        </w:rPr>
      </w:r>
    </w:p>
    <w:p w:rsidR="00000000" w:rsidDel="00000000" w:rsidP="00000000" w:rsidRDefault="00000000" w:rsidRPr="00000000" w14:paraId="000000B0">
      <w:pPr>
        <w:numPr>
          <w:ilvl w:val="0"/>
          <w:numId w:val="4"/>
        </w:numPr>
        <w:spacing w:after="80" w:lineRule="auto"/>
        <w:ind w:left="720" w:hanging="360"/>
      </w:pPr>
      <w:r w:rsidDel="00000000" w:rsidR="00000000" w:rsidRPr="00000000">
        <w:rPr>
          <w:rtl w:val="0"/>
        </w:rPr>
        <w:t xml:space="preserve">Composition: Elemental composition with ranges (e.g., 45-55 wt% Fe)</w:t>
      </w:r>
    </w:p>
    <w:p w:rsidR="00000000" w:rsidDel="00000000" w:rsidP="00000000" w:rsidRDefault="00000000" w:rsidRPr="00000000" w14:paraId="000000B1">
      <w:pPr>
        <w:numPr>
          <w:ilvl w:val="0"/>
          <w:numId w:val="4"/>
        </w:numPr>
        <w:spacing w:after="80" w:lineRule="auto"/>
        <w:ind w:left="720" w:hanging="360"/>
      </w:pPr>
      <w:r w:rsidDel="00000000" w:rsidR="00000000" w:rsidRPr="00000000">
        <w:rPr>
          <w:rtl w:val="0"/>
        </w:rPr>
        <w:t xml:space="preserve">Raw Materials: Source specifications, particle sizes, purity levels</w:t>
      </w:r>
    </w:p>
    <w:p w:rsidR="00000000" w:rsidDel="00000000" w:rsidP="00000000" w:rsidRDefault="00000000" w:rsidRPr="00000000" w14:paraId="000000B2">
      <w:pPr>
        <w:numPr>
          <w:ilvl w:val="0"/>
          <w:numId w:val="4"/>
        </w:numPr>
        <w:spacing w:after="80" w:lineRule="auto"/>
        <w:ind w:left="720" w:hanging="360"/>
      </w:pPr>
      <w:r w:rsidDel="00000000" w:rsidR="00000000" w:rsidRPr="00000000">
        <w:rPr>
          <w:rtl w:val="0"/>
        </w:rPr>
        <w:t xml:space="preserve">Processing Route: Mixing, melting, forming, heat treatment sequences</w:t>
      </w:r>
    </w:p>
    <w:p w:rsidR="00000000" w:rsidDel="00000000" w:rsidP="00000000" w:rsidRDefault="00000000" w:rsidRPr="00000000" w14:paraId="000000B3">
      <w:pPr>
        <w:numPr>
          <w:ilvl w:val="0"/>
          <w:numId w:val="4"/>
        </w:numPr>
        <w:spacing w:after="80" w:lineRule="auto"/>
        <w:ind w:left="720" w:hanging="360"/>
      </w:pPr>
      <w:r w:rsidDel="00000000" w:rsidR="00000000" w:rsidRPr="00000000">
        <w:rPr>
          <w:rtl w:val="0"/>
        </w:rPr>
        <w:t xml:space="preserve">Temperature Profiles: Heating/cooling rates, hold times, atmospheres</w:t>
      </w:r>
    </w:p>
    <w:p w:rsidR="00000000" w:rsidDel="00000000" w:rsidP="00000000" w:rsidRDefault="00000000" w:rsidRPr="00000000" w14:paraId="000000B4">
      <w:pPr>
        <w:numPr>
          <w:ilvl w:val="0"/>
          <w:numId w:val="4"/>
        </w:numPr>
        <w:spacing w:after="80" w:lineRule="auto"/>
        <w:ind w:left="720" w:hanging="360"/>
      </w:pPr>
      <w:r w:rsidDel="00000000" w:rsidR="00000000" w:rsidRPr="00000000">
        <w:rPr>
          <w:rtl w:val="0"/>
        </w:rPr>
        <w:t xml:space="preserve">Pressure Conditions: If applicable, compaction or sintering pressures</w:t>
      </w:r>
    </w:p>
    <w:p w:rsidR="00000000" w:rsidDel="00000000" w:rsidP="00000000" w:rsidRDefault="00000000" w:rsidRPr="00000000" w14:paraId="000000B5">
      <w:pPr>
        <w:numPr>
          <w:ilvl w:val="0"/>
          <w:numId w:val="4"/>
        </w:numPr>
        <w:spacing w:after="80" w:lineRule="auto"/>
        <w:ind w:left="720" w:hanging="360"/>
      </w:pPr>
      <w:r w:rsidDel="00000000" w:rsidR="00000000" w:rsidRPr="00000000">
        <w:rPr>
          <w:rtl w:val="0"/>
        </w:rPr>
        <w:t xml:space="preserve">Microstructure: Phase identification, grain size, texture characterization</w:t>
      </w:r>
    </w:p>
    <w:p w:rsidR="00000000" w:rsidDel="00000000" w:rsidP="00000000" w:rsidRDefault="00000000" w:rsidRPr="00000000" w14:paraId="000000B6">
      <w:pPr>
        <w:numPr>
          <w:ilvl w:val="0"/>
          <w:numId w:val="4"/>
        </w:numPr>
        <w:spacing w:after="80" w:lineRule="auto"/>
        <w:ind w:left="720" w:hanging="360"/>
      </w:pPr>
      <w:r w:rsidDel="00000000" w:rsidR="00000000" w:rsidRPr="00000000">
        <w:rPr>
          <w:rtl w:val="0"/>
        </w:rPr>
        <w:t xml:space="preserve">Property Measurements: Mechanical, thermal, electrical, or other relevant properties</w:t>
      </w:r>
    </w:p>
    <w:p w:rsidR="00000000" w:rsidDel="00000000" w:rsidP="00000000" w:rsidRDefault="00000000" w:rsidRPr="00000000" w14:paraId="000000B7">
      <w:pPr>
        <w:numPr>
          <w:ilvl w:val="0"/>
          <w:numId w:val="4"/>
        </w:numPr>
        <w:spacing w:after="120" w:lineRule="auto"/>
        <w:ind w:left="720" w:hanging="360"/>
      </w:pPr>
      <w:r w:rsidDel="00000000" w:rsidR="00000000" w:rsidRPr="00000000">
        <w:rPr>
          <w:rtl w:val="0"/>
        </w:rPr>
        <w:t xml:space="preserve">Comparative Data: Performance vs. existing materials or prior art</w:t>
      </w:r>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rPr/>
      </w:pPr>
      <w:r w:rsidDel="00000000" w:rsidR="00000000" w:rsidRPr="00000000">
        <w:rPr>
          <w:rtl w:val="0"/>
        </w:rPr>
        <w:t xml:space="preserve">5. Conversion Statistics and Strategic Considerations</w:t>
      </w:r>
    </w:p>
    <w:p w:rsidR="00000000" w:rsidDel="00000000" w:rsidP="00000000" w:rsidRDefault="00000000" w:rsidRPr="00000000" w14:paraId="000000BA">
      <w:pPr>
        <w:spacing w:after="120" w:lineRule="auto"/>
        <w:rPr/>
      </w:pPr>
      <w:r w:rsidDel="00000000" w:rsidR="00000000" w:rsidRPr="00000000">
        <w:rPr>
          <w:rtl w:val="0"/>
        </w:rPr>
        <w:t xml:space="preserve">Understanding provisional-to-non-provisional conversion patterns informs both product design and user guidance within Filing Ready.</w:t>
      </w:r>
    </w:p>
    <w:p w:rsidR="00000000" w:rsidDel="00000000" w:rsidP="00000000" w:rsidRDefault="00000000" w:rsidRPr="00000000" w14:paraId="000000BB">
      <w:pPr>
        <w:spacing w:after="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c5aa0"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5aa0"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sz w:val="20"/>
                <w:szCs w:val="20"/>
                <w:rtl w:val="0"/>
              </w:rPr>
              <w:t xml:space="preserve">Conversion Rate (Provisional to Non-Provisional)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b w:val="1"/>
                <w:bCs w:val="1"/>
                <w:sz w:val="20"/>
                <w:szCs w:val="20"/>
                <w:rtl w:val="0"/>
              </w:rPr>
              <w:t xml:space="preserve">52% - 60%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sz w:val="20"/>
                <w:szCs w:val="20"/>
                <w:rtl w:val="0"/>
              </w:rPr>
              <w:t xml:space="preserve">Abandonment Rate (Provisionals never converted)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b w:val="1"/>
                <w:bCs w:val="1"/>
                <w:sz w:val="20"/>
                <w:szCs w:val="20"/>
                <w:rtl w:val="0"/>
              </w:rPr>
              <w:t xml:space="preserve">40% - 48%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sz w:val="20"/>
                <w:szCs w:val="20"/>
                <w:rtl w:val="0"/>
              </w:rPr>
              <w:t xml:space="preserve">Annual Provisional Filings (FY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sz w:val="20"/>
                <w:szCs w:val="20"/>
                <w:rtl w:val="0"/>
              </w:rPr>
              <w:t xml:space="preserve">~149,310 applications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sz w:val="20"/>
                <w:szCs w:val="20"/>
                <w:rtl w:val="0"/>
              </w:rPr>
              <w:t xml:space="preserve">Conversion Deadline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sz w:val="20"/>
                <w:szCs w:val="20"/>
                <w:rtl w:val="0"/>
              </w:rPr>
              <w:t xml:space="preserve">12 months from provisional filing date (absolute)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sz w:val="20"/>
                <w:szCs w:val="20"/>
                <w:rtl w:val="0"/>
              </w:rPr>
              <w:t xml:space="preserve">Late Filing Petition 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sz w:val="20"/>
                <w:szCs w:val="20"/>
                <w:rtl w:val="0"/>
              </w:rPr>
              <w:t xml:space="preserve">14 months total (with unintentional delay petition)</w:t>
            </w:r>
            <w:r w:rsidDel="00000000" w:rsidR="00000000" w:rsidRPr="00000000">
              <w:rPr>
                <w:rtl w:val="0"/>
              </w:rPr>
            </w:r>
          </w:p>
        </w:tc>
      </w:tr>
    </w:tbl>
    <w:p w:rsidR="00000000" w:rsidDel="00000000" w:rsidP="00000000" w:rsidRDefault="00000000" w:rsidRPr="00000000" w14:paraId="000000C8">
      <w:pPr>
        <w:spacing w:after="120" w:lineRule="auto"/>
        <w:rPr/>
      </w:pPr>
      <w:r w:rsidDel="00000000" w:rsidR="00000000" w:rsidRPr="00000000">
        <w:rPr>
          <w:rtl w:val="0"/>
        </w:rPr>
      </w:r>
    </w:p>
    <w:p w:rsidR="00000000" w:rsidDel="00000000" w:rsidP="00000000" w:rsidRDefault="00000000" w:rsidRPr="00000000" w14:paraId="000000C9">
      <w:pPr>
        <w:pStyle w:val="Heading2"/>
        <w:rPr/>
      </w:pPr>
      <w:r w:rsidDel="00000000" w:rsidR="00000000" w:rsidRPr="00000000">
        <w:rPr>
          <w:rtl w:val="0"/>
        </w:rPr>
        <w:t xml:space="preserve">5.1 Conversion Rate Analysis</w:t>
      </w:r>
    </w:p>
    <w:p w:rsidR="00000000" w:rsidDel="00000000" w:rsidP="00000000" w:rsidRDefault="00000000" w:rsidRPr="00000000" w14:paraId="000000CA">
      <w:pPr>
        <w:spacing w:after="120" w:lineRule="auto"/>
        <w:rPr/>
      </w:pPr>
      <w:r w:rsidDel="00000000" w:rsidR="00000000" w:rsidRPr="00000000">
        <w:rPr>
          <w:rtl w:val="0"/>
        </w:rPr>
        <w:t xml:space="preserve">Research by Martinez et al. (2024) in the International Review of Intellectual Property indicates that the 40-48% abandonment rate largely reflects strategic business decisions rather than patent failures. Common reasons for non-conversion include:</w:t>
      </w:r>
    </w:p>
    <w:p w:rsidR="00000000" w:rsidDel="00000000" w:rsidP="00000000" w:rsidRDefault="00000000" w:rsidRPr="00000000" w14:paraId="000000CB">
      <w:pPr>
        <w:spacing w:after="120" w:lineRule="auto"/>
        <w:rPr/>
      </w:pPr>
      <w:r w:rsidDel="00000000" w:rsidR="00000000" w:rsidRPr="00000000">
        <w:rPr>
          <w:rtl w:val="0"/>
        </w:rPr>
      </w:r>
    </w:p>
    <w:p w:rsidR="00000000" w:rsidDel="00000000" w:rsidP="00000000" w:rsidRDefault="00000000" w:rsidRPr="00000000" w14:paraId="000000CC">
      <w:pPr>
        <w:numPr>
          <w:ilvl w:val="0"/>
          <w:numId w:val="4"/>
        </w:numPr>
        <w:spacing w:after="80" w:lineRule="auto"/>
        <w:ind w:left="720" w:hanging="360"/>
      </w:pPr>
      <w:r w:rsidDel="00000000" w:rsidR="00000000" w:rsidRPr="00000000">
        <w:rPr>
          <w:rtl w:val="0"/>
        </w:rPr>
        <w:t xml:space="preserve">Market viability determined insufficient during 12-month evaluation period</w:t>
      </w:r>
    </w:p>
    <w:p w:rsidR="00000000" w:rsidDel="00000000" w:rsidP="00000000" w:rsidRDefault="00000000" w:rsidRPr="00000000" w14:paraId="000000CD">
      <w:pPr>
        <w:numPr>
          <w:ilvl w:val="0"/>
          <w:numId w:val="4"/>
        </w:numPr>
        <w:spacing w:after="80" w:lineRule="auto"/>
        <w:ind w:left="720" w:hanging="360"/>
      </w:pPr>
      <w:r w:rsidDel="00000000" w:rsidR="00000000" w:rsidRPr="00000000">
        <w:rPr>
          <w:rtl w:val="0"/>
        </w:rPr>
        <w:t xml:space="preserve">Invention required major redesign that invalidated original disclosure</w:t>
      </w:r>
    </w:p>
    <w:p w:rsidR="00000000" w:rsidDel="00000000" w:rsidP="00000000" w:rsidRDefault="00000000" w:rsidRPr="00000000" w14:paraId="000000CE">
      <w:pPr>
        <w:numPr>
          <w:ilvl w:val="0"/>
          <w:numId w:val="4"/>
        </w:numPr>
        <w:spacing w:after="80" w:lineRule="auto"/>
        <w:ind w:left="720" w:hanging="360"/>
      </w:pPr>
      <w:r w:rsidDel="00000000" w:rsidR="00000000" w:rsidRPr="00000000">
        <w:rPr>
          <w:rtl w:val="0"/>
        </w:rPr>
        <w:t xml:space="preserve">Prior art discovered that undermined patentability</w:t>
      </w:r>
    </w:p>
    <w:p w:rsidR="00000000" w:rsidDel="00000000" w:rsidP="00000000" w:rsidRDefault="00000000" w:rsidRPr="00000000" w14:paraId="000000CF">
      <w:pPr>
        <w:numPr>
          <w:ilvl w:val="0"/>
          <w:numId w:val="4"/>
        </w:numPr>
        <w:spacing w:after="80" w:lineRule="auto"/>
        <w:ind w:left="720" w:hanging="360"/>
      </w:pPr>
      <w:r w:rsidDel="00000000" w:rsidR="00000000" w:rsidRPr="00000000">
        <w:rPr>
          <w:rtl w:val="0"/>
        </w:rPr>
        <w:t xml:space="preserve">Funding not secured for full patent prosecution</w:t>
      </w:r>
    </w:p>
    <w:p w:rsidR="00000000" w:rsidDel="00000000" w:rsidP="00000000" w:rsidRDefault="00000000" w:rsidRPr="00000000" w14:paraId="000000D0">
      <w:pPr>
        <w:numPr>
          <w:ilvl w:val="0"/>
          <w:numId w:val="4"/>
        </w:numPr>
        <w:spacing w:after="120" w:lineRule="auto"/>
        <w:ind w:left="720" w:hanging="360"/>
      </w:pPr>
      <w:r w:rsidDel="00000000" w:rsidR="00000000" w:rsidRPr="00000000">
        <w:rPr>
          <w:rtl w:val="0"/>
        </w:rPr>
        <w:t xml:space="preserve">Deadline missed due to administrative oversight</w:t>
      </w:r>
    </w:p>
    <w:p w:rsidR="00000000" w:rsidDel="00000000" w:rsidP="00000000" w:rsidRDefault="00000000" w:rsidRPr="00000000" w14:paraId="000000D1">
      <w:pPr>
        <w:spacing w:after="120" w:lineRule="auto"/>
        <w:rPr/>
      </w:pP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tl w:val="0"/>
        </w:rPr>
        <w:t xml:space="preserve">5.2 Filing Ready Implications</w:t>
      </w:r>
    </w:p>
    <w:p w:rsidR="00000000" w:rsidDel="00000000" w:rsidP="00000000" w:rsidRDefault="00000000" w:rsidRPr="00000000" w14:paraId="000000D3">
      <w:pPr>
        <w:spacing w:after="120" w:lineRule="auto"/>
        <w:rPr/>
      </w:pPr>
      <w:r w:rsidDel="00000000" w:rsidR="00000000" w:rsidRPr="00000000">
        <w:rPr>
          <w:rtl w:val="0"/>
        </w:rPr>
        <w:t xml:space="preserve">The high abandonment rate creates opportunities for Filing Ready to add value through:</w:t>
      </w:r>
    </w:p>
    <w:p w:rsidR="00000000" w:rsidDel="00000000" w:rsidP="00000000" w:rsidRDefault="00000000" w:rsidRPr="00000000" w14:paraId="000000D4">
      <w:pPr>
        <w:spacing w:after="120" w:lineRule="auto"/>
        <w:rPr/>
      </w:pPr>
      <w:r w:rsidDel="00000000" w:rsidR="00000000" w:rsidRPr="00000000">
        <w:rPr>
          <w:rtl w:val="0"/>
        </w:rPr>
      </w:r>
    </w:p>
    <w:p w:rsidR="00000000" w:rsidDel="00000000" w:rsidP="00000000" w:rsidRDefault="00000000" w:rsidRPr="00000000" w14:paraId="000000D5">
      <w:pPr>
        <w:numPr>
          <w:ilvl w:val="0"/>
          <w:numId w:val="4"/>
        </w:numPr>
        <w:spacing w:after="80" w:lineRule="auto"/>
        <w:ind w:left="720" w:hanging="360"/>
      </w:pPr>
      <w:r w:rsidDel="00000000" w:rsidR="00000000" w:rsidRPr="00000000">
        <w:rPr>
          <w:rtl w:val="0"/>
        </w:rPr>
        <w:t xml:space="preserve">Automated deadline tracking with escalating reminder sequences</w:t>
      </w:r>
    </w:p>
    <w:p w:rsidR="00000000" w:rsidDel="00000000" w:rsidP="00000000" w:rsidRDefault="00000000" w:rsidRPr="00000000" w14:paraId="000000D6">
      <w:pPr>
        <w:numPr>
          <w:ilvl w:val="0"/>
          <w:numId w:val="4"/>
        </w:numPr>
        <w:spacing w:after="80" w:lineRule="auto"/>
        <w:ind w:left="720" w:hanging="360"/>
      </w:pPr>
      <w:r w:rsidDel="00000000" w:rsidR="00000000" w:rsidRPr="00000000">
        <w:rPr>
          <w:rtl w:val="0"/>
        </w:rPr>
        <w:t xml:space="preserve">Pre-filing prior art assessment to reduce post-filing abandonment</w:t>
      </w:r>
    </w:p>
    <w:p w:rsidR="00000000" w:rsidDel="00000000" w:rsidP="00000000" w:rsidRDefault="00000000" w:rsidRPr="00000000" w14:paraId="000000D7">
      <w:pPr>
        <w:numPr>
          <w:ilvl w:val="0"/>
          <w:numId w:val="4"/>
        </w:numPr>
        <w:spacing w:after="80" w:lineRule="auto"/>
        <w:ind w:left="720" w:hanging="360"/>
      </w:pPr>
      <w:r w:rsidDel="00000000" w:rsidR="00000000" w:rsidRPr="00000000">
        <w:rPr>
          <w:rtl w:val="0"/>
        </w:rPr>
        <w:t xml:space="preserve">6-month conversion decision support with market/technical viability assessment</w:t>
      </w:r>
    </w:p>
    <w:p w:rsidR="00000000" w:rsidDel="00000000" w:rsidP="00000000" w:rsidRDefault="00000000" w:rsidRPr="00000000" w14:paraId="000000D8">
      <w:pPr>
        <w:numPr>
          <w:ilvl w:val="0"/>
          <w:numId w:val="4"/>
        </w:numPr>
        <w:spacing w:after="120" w:lineRule="auto"/>
        <w:ind w:left="720" w:hanging="360"/>
      </w:pPr>
      <w:r w:rsidDel="00000000" w:rsidR="00000000" w:rsidRPr="00000000">
        <w:rPr>
          <w:rtl w:val="0"/>
        </w:rPr>
        <w:t xml:space="preserve">Streamlined non-provisional conversion workflow that claims benefit of provisional filing date</w:t>
      </w:r>
    </w:p>
    <w:p w:rsidR="00000000" w:rsidDel="00000000" w:rsidP="00000000" w:rsidRDefault="00000000" w:rsidRPr="00000000" w14:paraId="000000D9">
      <w:pPr>
        <w:pStyle w:val="Heading1"/>
        <w:rPr/>
      </w:pPr>
      <w:r w:rsidDel="00000000" w:rsidR="00000000" w:rsidRPr="00000000">
        <w:rPr>
          <w:rtl w:val="0"/>
        </w:rPr>
        <w:t xml:space="preserve">6. Verifier Requirements Summary</w:t>
      </w:r>
    </w:p>
    <w:p w:rsidR="00000000" w:rsidDel="00000000" w:rsidP="00000000" w:rsidRDefault="00000000" w:rsidRPr="00000000" w14:paraId="000000DA">
      <w:pPr>
        <w:spacing w:after="120" w:lineRule="auto"/>
        <w:rPr/>
      </w:pPr>
      <w:r w:rsidDel="00000000" w:rsidR="00000000" w:rsidRPr="00000000">
        <w:rPr>
          <w:rtl w:val="0"/>
        </w:rPr>
        <w:t xml:space="preserve">The following verifiers are implicated in the provisional filing flow:</w:t>
      </w:r>
    </w:p>
    <w:p w:rsidR="00000000" w:rsidDel="00000000" w:rsidP="00000000" w:rsidRDefault="00000000" w:rsidRPr="00000000" w14:paraId="000000DB">
      <w:pPr>
        <w:spacing w:after="120" w:lineRule="auto"/>
        <w:rPr/>
      </w:pPr>
      <w:r w:rsidDel="00000000" w:rsidR="00000000" w:rsidRPr="00000000">
        <w:rPr>
          <w:rtl w:val="0"/>
        </w:rPr>
      </w:r>
    </w:p>
    <w:p w:rsidR="00000000" w:rsidDel="00000000" w:rsidP="00000000" w:rsidRDefault="00000000" w:rsidRPr="00000000" w14:paraId="000000DC">
      <w:pPr>
        <w:pStyle w:val="Heading2"/>
        <w:rPr/>
      </w:pPr>
      <w:r w:rsidDel="00000000" w:rsidR="00000000" w:rsidRPr="00000000">
        <w:rPr>
          <w:rtl w:val="0"/>
        </w:rPr>
        <w:t xml:space="preserve">6.1 Entity Status Verifiers</w:t>
      </w:r>
    </w:p>
    <w:p w:rsidR="00000000" w:rsidDel="00000000" w:rsidP="00000000" w:rsidRDefault="00000000" w:rsidRPr="00000000" w14:paraId="000000DD">
      <w:pPr>
        <w:numPr>
          <w:ilvl w:val="0"/>
          <w:numId w:val="4"/>
        </w:numPr>
        <w:spacing w:after="80" w:lineRule="auto"/>
        <w:ind w:left="720" w:hanging="360"/>
      </w:pPr>
      <w:r w:rsidDel="00000000" w:rsidR="00000000" w:rsidRPr="00000000">
        <w:rPr>
          <w:rtl w:val="0"/>
        </w:rPr>
        <w:t xml:space="preserve">Employee count verification (for business concerns)</w:t>
      </w:r>
    </w:p>
    <w:p w:rsidR="00000000" w:rsidDel="00000000" w:rsidP="00000000" w:rsidRDefault="00000000" w:rsidRPr="00000000" w14:paraId="000000DE">
      <w:pPr>
        <w:numPr>
          <w:ilvl w:val="0"/>
          <w:numId w:val="4"/>
        </w:numPr>
        <w:spacing w:after="80" w:lineRule="auto"/>
        <w:ind w:left="720" w:hanging="360"/>
      </w:pPr>
      <w:r w:rsidDel="00000000" w:rsidR="00000000" w:rsidRPr="00000000">
        <w:rPr>
          <w:rtl w:val="0"/>
        </w:rPr>
        <w:t xml:space="preserve">Gross income verification (for micro entity qualification)</w:t>
      </w:r>
    </w:p>
    <w:p w:rsidR="00000000" w:rsidDel="00000000" w:rsidP="00000000" w:rsidRDefault="00000000" w:rsidRPr="00000000" w14:paraId="000000DF">
      <w:pPr>
        <w:numPr>
          <w:ilvl w:val="0"/>
          <w:numId w:val="4"/>
        </w:numPr>
        <w:spacing w:after="80" w:lineRule="auto"/>
        <w:ind w:left="720" w:hanging="360"/>
      </w:pPr>
      <w:r w:rsidDel="00000000" w:rsidR="00000000" w:rsidRPr="00000000">
        <w:rPr>
          <w:rtl w:val="0"/>
        </w:rPr>
        <w:t xml:space="preserve">Prior application count (excluding provisionals, foreign, PCT without national fee, prior employment)</w:t>
      </w:r>
    </w:p>
    <w:p w:rsidR="00000000" w:rsidDel="00000000" w:rsidP="00000000" w:rsidRDefault="00000000" w:rsidRPr="00000000" w14:paraId="000000E0">
      <w:pPr>
        <w:numPr>
          <w:ilvl w:val="0"/>
          <w:numId w:val="4"/>
        </w:numPr>
        <w:spacing w:after="80" w:lineRule="auto"/>
        <w:ind w:left="720" w:hanging="360"/>
      </w:pPr>
      <w:r w:rsidDel="00000000" w:rsidR="00000000" w:rsidRPr="00000000">
        <w:rPr>
          <w:rtl w:val="0"/>
        </w:rPr>
        <w:t xml:space="preserve">Higher education affiliation verification (for university researchers)</w:t>
      </w:r>
    </w:p>
    <w:p w:rsidR="00000000" w:rsidDel="00000000" w:rsidP="00000000" w:rsidRDefault="00000000" w:rsidRPr="00000000" w14:paraId="000000E1">
      <w:pPr>
        <w:numPr>
          <w:ilvl w:val="0"/>
          <w:numId w:val="4"/>
        </w:numPr>
        <w:spacing w:after="80" w:lineRule="auto"/>
        <w:ind w:left="720" w:hanging="360"/>
      </w:pPr>
      <w:r w:rsidDel="00000000" w:rsidR="00000000" w:rsidRPr="00000000">
        <w:rPr>
          <w:rtl w:val="0"/>
        </w:rPr>
        <w:t xml:space="preserve">Government license exception detection (Bayh-Dole, E.O. 10096, 28 USC 1498)</w:t>
      </w:r>
    </w:p>
    <w:p w:rsidR="00000000" w:rsidDel="00000000" w:rsidP="00000000" w:rsidRDefault="00000000" w:rsidRPr="00000000" w14:paraId="000000E2">
      <w:pPr>
        <w:numPr>
          <w:ilvl w:val="0"/>
          <w:numId w:val="4"/>
        </w:numPr>
        <w:spacing w:after="120" w:lineRule="auto"/>
        <w:ind w:left="720" w:hanging="360"/>
      </w:pPr>
      <w:r w:rsidDel="00000000" w:rsidR="00000000" w:rsidRPr="00000000">
        <w:rPr>
          <w:rtl w:val="0"/>
        </w:rPr>
        <w:t xml:space="preserve">Rights assignment verification (to detect transfers to non-small entities)</w:t>
      </w:r>
    </w:p>
    <w:p w:rsidR="00000000" w:rsidDel="00000000" w:rsidP="00000000" w:rsidRDefault="00000000" w:rsidRPr="00000000" w14:paraId="000000E3">
      <w:pPr>
        <w:spacing w:after="120" w:lineRule="auto"/>
        <w:rPr/>
      </w:pPr>
      <w:r w:rsidDel="00000000" w:rsidR="00000000" w:rsidRPr="00000000">
        <w:rPr>
          <w:rtl w:val="0"/>
        </w:rPr>
      </w:r>
    </w:p>
    <w:p w:rsidR="00000000" w:rsidDel="00000000" w:rsidP="00000000" w:rsidRDefault="00000000" w:rsidRPr="00000000" w14:paraId="000000E4">
      <w:pPr>
        <w:pStyle w:val="Heading2"/>
        <w:rPr/>
      </w:pPr>
      <w:r w:rsidDel="00000000" w:rsidR="00000000" w:rsidRPr="00000000">
        <w:rPr>
          <w:rtl w:val="0"/>
        </w:rPr>
        <w:t xml:space="preserve">6.2 Specification Verifiers</w:t>
      </w:r>
    </w:p>
    <w:p w:rsidR="00000000" w:rsidDel="00000000" w:rsidP="00000000" w:rsidRDefault="00000000" w:rsidRPr="00000000" w14:paraId="000000E5">
      <w:pPr>
        <w:numPr>
          <w:ilvl w:val="0"/>
          <w:numId w:val="4"/>
        </w:numPr>
        <w:spacing w:after="80" w:lineRule="auto"/>
        <w:ind w:left="720" w:hanging="360"/>
      </w:pPr>
      <w:r w:rsidDel="00000000" w:rsidR="00000000" w:rsidRPr="00000000">
        <w:rPr>
          <w:rtl w:val="0"/>
        </w:rPr>
        <w:t xml:space="preserve">Enablement completeness check (35 USC 112(a) compliance)</w:t>
      </w:r>
    </w:p>
    <w:p w:rsidR="00000000" w:rsidDel="00000000" w:rsidP="00000000" w:rsidRDefault="00000000" w:rsidRPr="00000000" w14:paraId="000000E6">
      <w:pPr>
        <w:numPr>
          <w:ilvl w:val="0"/>
          <w:numId w:val="4"/>
        </w:numPr>
        <w:spacing w:after="80" w:lineRule="auto"/>
        <w:ind w:left="720" w:hanging="360"/>
      </w:pPr>
      <w:r w:rsidDel="00000000" w:rsidR="00000000" w:rsidRPr="00000000">
        <w:rPr>
          <w:rtl w:val="0"/>
        </w:rPr>
        <w:t xml:space="preserve">Industry-specific element verification (per Section 4 checklists)</w:t>
      </w:r>
    </w:p>
    <w:p w:rsidR="00000000" w:rsidDel="00000000" w:rsidP="00000000" w:rsidRDefault="00000000" w:rsidRPr="00000000" w14:paraId="000000E7">
      <w:pPr>
        <w:numPr>
          <w:ilvl w:val="0"/>
          <w:numId w:val="4"/>
        </w:numPr>
        <w:spacing w:after="80" w:lineRule="auto"/>
        <w:ind w:left="720" w:hanging="360"/>
      </w:pPr>
      <w:r w:rsidDel="00000000" w:rsidR="00000000" w:rsidRPr="00000000">
        <w:rPr>
          <w:rtl w:val="0"/>
        </w:rPr>
        <w:t xml:space="preserve">Drawings-to-specification cross-reference validation</w:t>
      </w:r>
    </w:p>
    <w:p w:rsidR="00000000" w:rsidDel="00000000" w:rsidP="00000000" w:rsidRDefault="00000000" w:rsidRPr="00000000" w14:paraId="000000E8">
      <w:pPr>
        <w:numPr>
          <w:ilvl w:val="0"/>
          <w:numId w:val="4"/>
        </w:numPr>
        <w:spacing w:after="120" w:lineRule="auto"/>
        <w:ind w:left="720" w:hanging="360"/>
      </w:pPr>
      <w:r w:rsidDel="00000000" w:rsidR="00000000" w:rsidRPr="00000000">
        <w:rPr>
          <w:rtl w:val="0"/>
        </w:rPr>
        <w:t xml:space="preserve">Page count verification (for application size fee calculation)</w:t>
      </w:r>
    </w:p>
    <w:p w:rsidR="00000000" w:rsidDel="00000000" w:rsidP="00000000" w:rsidRDefault="00000000" w:rsidRPr="00000000" w14:paraId="000000E9">
      <w:pPr>
        <w:spacing w:after="120" w:lineRule="auto"/>
        <w:rPr/>
      </w:pPr>
      <w:r w:rsidDel="00000000" w:rsidR="00000000" w:rsidRPr="00000000">
        <w:rPr>
          <w:rtl w:val="0"/>
        </w:rPr>
      </w:r>
    </w:p>
    <w:p w:rsidR="00000000" w:rsidDel="00000000" w:rsidP="00000000" w:rsidRDefault="00000000" w:rsidRPr="00000000" w14:paraId="000000EA">
      <w:pPr>
        <w:pStyle w:val="Heading2"/>
        <w:rPr/>
      </w:pPr>
      <w:r w:rsidDel="00000000" w:rsidR="00000000" w:rsidRPr="00000000">
        <w:rPr>
          <w:rtl w:val="0"/>
        </w:rPr>
        <w:t xml:space="preserve">6.3 Form Verifiers</w:t>
      </w:r>
    </w:p>
    <w:p w:rsidR="00000000" w:rsidDel="00000000" w:rsidP="00000000" w:rsidRDefault="00000000" w:rsidRPr="00000000" w14:paraId="000000EB">
      <w:pPr>
        <w:numPr>
          <w:ilvl w:val="0"/>
          <w:numId w:val="4"/>
        </w:numPr>
        <w:spacing w:after="80" w:lineRule="auto"/>
        <w:ind w:left="720" w:hanging="360"/>
      </w:pPr>
      <w:r w:rsidDel="00000000" w:rsidR="00000000" w:rsidRPr="00000000">
        <w:rPr>
          <w:rtl w:val="0"/>
        </w:rPr>
        <w:t xml:space="preserve">PTO/SB/16 completeness (all inventor fields, correspondence address)</w:t>
      </w:r>
    </w:p>
    <w:p w:rsidR="00000000" w:rsidDel="00000000" w:rsidP="00000000" w:rsidRDefault="00000000" w:rsidRPr="00000000" w14:paraId="000000EC">
      <w:pPr>
        <w:numPr>
          <w:ilvl w:val="0"/>
          <w:numId w:val="4"/>
        </w:numPr>
        <w:spacing w:after="80" w:lineRule="auto"/>
        <w:ind w:left="720" w:hanging="360"/>
      </w:pPr>
      <w:r w:rsidDel="00000000" w:rsidR="00000000" w:rsidRPr="00000000">
        <w:rPr>
          <w:rtl w:val="0"/>
        </w:rPr>
        <w:t xml:space="preserve">PTO/SB/15A/15B certification accuracy (if micro entity)</w:t>
      </w:r>
    </w:p>
    <w:p w:rsidR="00000000" w:rsidDel="00000000" w:rsidP="00000000" w:rsidRDefault="00000000" w:rsidRPr="00000000" w14:paraId="000000ED">
      <w:pPr>
        <w:numPr>
          <w:ilvl w:val="0"/>
          <w:numId w:val="4"/>
        </w:numPr>
        <w:spacing w:after="120" w:lineRule="auto"/>
        <w:ind w:left="720" w:hanging="360"/>
      </w:pPr>
      <w:r w:rsidDel="00000000" w:rsidR="00000000" w:rsidRPr="00000000">
        <w:rPr>
          <w:rtl w:val="0"/>
        </w:rPr>
        <w:t xml:space="preserve">Authorized signer verification (per 37 CFR 1.33(b) - not corp officers for micro cert)</w:t>
      </w:r>
    </w:p>
    <w:p w:rsidR="00000000" w:rsidDel="00000000" w:rsidP="00000000" w:rsidRDefault="00000000" w:rsidRPr="00000000" w14:paraId="000000EE">
      <w:pPr>
        <w:spacing w:after="120" w:lineRule="auto"/>
        <w:rPr/>
      </w:pPr>
      <w:r w:rsidDel="00000000" w:rsidR="00000000" w:rsidRPr="00000000">
        <w:rPr>
          <w:rtl w:val="0"/>
        </w:rPr>
      </w:r>
    </w:p>
    <w:p w:rsidR="00000000" w:rsidDel="00000000" w:rsidP="00000000" w:rsidRDefault="00000000" w:rsidRPr="00000000" w14:paraId="000000EF">
      <w:pPr>
        <w:pStyle w:val="Heading1"/>
        <w:rPr/>
      </w:pPr>
      <w:bookmarkStart w:colFirst="0" w:colLast="0" w:name="_8lvttk72h7y0" w:id="1"/>
      <w:bookmarkEnd w:id="1"/>
      <w:r w:rsidDel="00000000" w:rsidR="00000000" w:rsidRPr="00000000">
        <w:rPr>
          <w:rtl w:val="0"/>
        </w:rPr>
        <w:t xml:space="preserve">7. Regulatory References</w:t>
      </w:r>
    </w:p>
    <w:p w:rsidR="00000000" w:rsidDel="00000000" w:rsidP="00000000" w:rsidRDefault="00000000" w:rsidRPr="00000000" w14:paraId="000000F0">
      <w:pPr>
        <w:spacing w:after="120" w:lineRule="auto"/>
        <w:rPr/>
      </w:pPr>
      <w:r w:rsidDel="00000000" w:rsidR="00000000" w:rsidRPr="00000000">
        <w:rPr>
          <w:rtl w:val="0"/>
        </w:rPr>
        <w:t xml:space="preserve">This document is based on the following regulatory sources:</w:t>
      </w:r>
    </w:p>
    <w:p w:rsidR="00000000" w:rsidDel="00000000" w:rsidP="00000000" w:rsidRDefault="00000000" w:rsidRPr="00000000" w14:paraId="000000F1">
      <w:pPr>
        <w:spacing w:after="120" w:lineRule="auto"/>
        <w:rPr/>
      </w:pPr>
      <w:r w:rsidDel="00000000" w:rsidR="00000000" w:rsidRPr="00000000">
        <w:rPr>
          <w:rtl w:val="0"/>
        </w:rPr>
      </w:r>
    </w:p>
    <w:p w:rsidR="00000000" w:rsidDel="00000000" w:rsidP="00000000" w:rsidRDefault="00000000" w:rsidRPr="00000000" w14:paraId="000000F2">
      <w:pPr>
        <w:numPr>
          <w:ilvl w:val="0"/>
          <w:numId w:val="4"/>
        </w:numPr>
        <w:spacing w:after="80" w:lineRule="auto"/>
        <w:ind w:left="720" w:hanging="360"/>
      </w:pPr>
      <w:r w:rsidDel="00000000" w:rsidR="00000000" w:rsidRPr="00000000">
        <w:rPr>
          <w:rtl w:val="0"/>
        </w:rPr>
        <w:t xml:space="preserve">37 CFR 1.16(d) - Provisional filing fees</w:t>
      </w:r>
    </w:p>
    <w:p w:rsidR="00000000" w:rsidDel="00000000" w:rsidP="00000000" w:rsidRDefault="00000000" w:rsidRPr="00000000" w14:paraId="000000F3">
      <w:pPr>
        <w:numPr>
          <w:ilvl w:val="0"/>
          <w:numId w:val="4"/>
        </w:numPr>
        <w:spacing w:after="80" w:lineRule="auto"/>
        <w:ind w:left="720" w:hanging="360"/>
      </w:pPr>
      <w:r w:rsidDel="00000000" w:rsidR="00000000" w:rsidRPr="00000000">
        <w:rPr>
          <w:rtl w:val="0"/>
        </w:rPr>
        <w:t xml:space="preserve">37 CFR 1.27 - Small entity definition and requirements</w:t>
      </w:r>
    </w:p>
    <w:p w:rsidR="00000000" w:rsidDel="00000000" w:rsidP="00000000" w:rsidRDefault="00000000" w:rsidRPr="00000000" w14:paraId="000000F4">
      <w:pPr>
        <w:numPr>
          <w:ilvl w:val="0"/>
          <w:numId w:val="4"/>
        </w:numPr>
        <w:spacing w:after="80" w:lineRule="auto"/>
        <w:ind w:left="720" w:hanging="360"/>
      </w:pPr>
      <w:r w:rsidDel="00000000" w:rsidR="00000000" w:rsidRPr="00000000">
        <w:rPr>
          <w:rtl w:val="0"/>
        </w:rPr>
        <w:t xml:space="preserve">37 CFR 1.29 - Micro entity definition and requirements</w:t>
      </w:r>
    </w:p>
    <w:p w:rsidR="00000000" w:rsidDel="00000000" w:rsidP="00000000" w:rsidRDefault="00000000" w:rsidRPr="00000000" w14:paraId="000000F5">
      <w:pPr>
        <w:numPr>
          <w:ilvl w:val="0"/>
          <w:numId w:val="4"/>
        </w:numPr>
        <w:spacing w:after="80" w:lineRule="auto"/>
        <w:ind w:left="720" w:hanging="360"/>
      </w:pPr>
      <w:r w:rsidDel="00000000" w:rsidR="00000000" w:rsidRPr="00000000">
        <w:rPr>
          <w:rtl w:val="0"/>
        </w:rPr>
        <w:t xml:space="preserve">37 CFR 1.53(c) - Provisional application requirements</w:t>
      </w:r>
    </w:p>
    <w:p w:rsidR="00000000" w:rsidDel="00000000" w:rsidP="00000000" w:rsidRDefault="00000000" w:rsidRPr="00000000" w14:paraId="000000F6">
      <w:pPr>
        <w:numPr>
          <w:ilvl w:val="0"/>
          <w:numId w:val="4"/>
        </w:numPr>
        <w:spacing w:after="80" w:lineRule="auto"/>
        <w:ind w:left="720" w:hanging="360"/>
      </w:pPr>
      <w:r w:rsidDel="00000000" w:rsidR="00000000" w:rsidRPr="00000000">
        <w:rPr>
          <w:rtl w:val="0"/>
        </w:rPr>
        <w:t xml:space="preserve">35 USC 112(a) - Written description and enablement requirement</w:t>
      </w:r>
    </w:p>
    <w:p w:rsidR="00000000" w:rsidDel="00000000" w:rsidP="00000000" w:rsidRDefault="00000000" w:rsidRPr="00000000" w14:paraId="000000F7">
      <w:pPr>
        <w:numPr>
          <w:ilvl w:val="0"/>
          <w:numId w:val="4"/>
        </w:numPr>
        <w:spacing w:after="80" w:lineRule="auto"/>
        <w:ind w:left="720" w:hanging="360"/>
      </w:pPr>
      <w:r w:rsidDel="00000000" w:rsidR="00000000" w:rsidRPr="00000000">
        <w:rPr>
          <w:rtl w:val="0"/>
        </w:rPr>
        <w:t xml:space="preserve">35 USC 119(e) - Benefit of provisional application</w:t>
      </w:r>
    </w:p>
    <w:p w:rsidR="00000000" w:rsidDel="00000000" w:rsidP="00000000" w:rsidRDefault="00000000" w:rsidRPr="00000000" w14:paraId="000000F8">
      <w:pPr>
        <w:numPr>
          <w:ilvl w:val="0"/>
          <w:numId w:val="4"/>
        </w:numPr>
        <w:spacing w:after="80" w:lineRule="auto"/>
        <w:ind w:left="720" w:hanging="360"/>
      </w:pPr>
      <w:r w:rsidDel="00000000" w:rsidR="00000000" w:rsidRPr="00000000">
        <w:rPr>
          <w:rtl w:val="0"/>
        </w:rPr>
        <w:t xml:space="preserve">35 USC 202(c)(4) - Bayh-Dole Act government license</w:t>
      </w:r>
    </w:p>
    <w:p w:rsidR="00000000" w:rsidDel="00000000" w:rsidP="00000000" w:rsidRDefault="00000000" w:rsidRPr="00000000" w14:paraId="000000F9">
      <w:pPr>
        <w:numPr>
          <w:ilvl w:val="0"/>
          <w:numId w:val="4"/>
        </w:numPr>
        <w:spacing w:after="80" w:lineRule="auto"/>
        <w:ind w:left="720" w:hanging="360"/>
      </w:pPr>
      <w:r w:rsidDel="00000000" w:rsidR="00000000" w:rsidRPr="00000000">
        <w:rPr>
          <w:rtl w:val="0"/>
        </w:rPr>
        <w:t xml:space="preserve">20 USC 1001(a) - Institution of higher education definition</w:t>
      </w:r>
    </w:p>
    <w:p w:rsidR="00000000" w:rsidDel="00000000" w:rsidP="00000000" w:rsidRDefault="00000000" w:rsidRPr="00000000" w14:paraId="000000FA">
      <w:pPr>
        <w:numPr>
          <w:ilvl w:val="0"/>
          <w:numId w:val="4"/>
        </w:numPr>
        <w:spacing w:after="80" w:lineRule="auto"/>
        <w:ind w:left="720" w:hanging="360"/>
      </w:pPr>
      <w:r w:rsidDel="00000000" w:rsidR="00000000" w:rsidRPr="00000000">
        <w:rPr>
          <w:rtl w:val="0"/>
        </w:rPr>
        <w:t xml:space="preserve">26 USC 61(a) - Gross income definition</w:t>
      </w:r>
    </w:p>
    <w:p w:rsidR="00000000" w:rsidDel="00000000" w:rsidP="00000000" w:rsidRDefault="00000000" w:rsidRPr="00000000" w14:paraId="000000FB">
      <w:pPr>
        <w:numPr>
          <w:ilvl w:val="0"/>
          <w:numId w:val="4"/>
        </w:numPr>
        <w:spacing w:after="80" w:lineRule="auto"/>
        <w:ind w:left="720" w:hanging="360"/>
      </w:pPr>
      <w:r w:rsidDel="00000000" w:rsidR="00000000" w:rsidRPr="00000000">
        <w:rPr>
          <w:rtl w:val="0"/>
        </w:rPr>
        <w:t xml:space="preserve">13 CFR 121.801-805 - Small business size standards</w:t>
      </w:r>
    </w:p>
    <w:p w:rsidR="00000000" w:rsidDel="00000000" w:rsidP="00000000" w:rsidRDefault="00000000" w:rsidRPr="00000000" w14:paraId="000000FC">
      <w:pPr>
        <w:numPr>
          <w:ilvl w:val="0"/>
          <w:numId w:val="4"/>
        </w:numPr>
        <w:spacing w:after="120" w:lineRule="auto"/>
        <w:ind w:left="720" w:hanging="360"/>
      </w:pPr>
      <w:r w:rsidDel="00000000" w:rsidR="00000000" w:rsidRPr="00000000">
        <w:rPr>
          <w:rtl w:val="0"/>
        </w:rPr>
        <w:t xml:space="preserve">Executive Order 10096 - Federal employee inventions</w:t>
      </w:r>
    </w:p>
    <w:p w:rsidR="00000000" w:rsidDel="00000000" w:rsidP="00000000" w:rsidRDefault="00000000" w:rsidRPr="00000000" w14:paraId="000000FD">
      <w:pPr>
        <w:spacing w:after="120" w:lineRule="auto"/>
        <w:rPr/>
      </w:pPr>
      <w:r w:rsidDel="00000000" w:rsidR="00000000" w:rsidRPr="00000000">
        <w:rPr>
          <w:rtl w:val="0"/>
        </w:rPr>
      </w:r>
    </w:p>
    <w:p w:rsidR="00000000" w:rsidDel="00000000" w:rsidP="00000000" w:rsidRDefault="00000000" w:rsidRPr="00000000" w14:paraId="000000FE">
      <w:pPr>
        <w:spacing w:after="120" w:lineRule="auto"/>
        <w:rPr/>
      </w:pPr>
      <w:r w:rsidDel="00000000" w:rsidR="00000000" w:rsidRPr="00000000">
        <w:rPr>
          <w:rtl w:val="0"/>
        </w:rPr>
        <w:t xml:space="preserve">Fee amounts current as of January 19, 2025 USPTO fee schedule. Income threshold ($251,190) reflects 2025 value per 37 CFR 1.29(a)(3).</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spacing w:after="120" w:lineRule="auto"/>
        <w:rPr/>
      </w:pPr>
      <w:r w:rsidDel="00000000" w:rsidR="00000000" w:rsidRPr="00000000">
        <w:rPr>
          <w:rtl w:val="0"/>
        </w:rPr>
      </w:r>
    </w:p>
    <w:sectPr>
      <w:headerReference r:id="rId7" w:type="default"/>
      <w:footerReference r:id="rId8" w:type="default"/>
      <w:type w:val="nextPage"/>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pBdr>
        <w:top w:color="cccccc" w:space="1" w:sz="6" w:val="single"/>
      </w:pBdr>
      <w:tabs>
        <w:tab w:val="right" w:leader="none" w:pos="9026"/>
      </w:tabs>
      <w:rPr/>
    </w:pPr>
    <w:r w:rsidDel="00000000" w:rsidR="00000000" w:rsidRPr="00000000">
      <w:rPr>
        <w:color w:val="999999"/>
        <w:sz w:val="18"/>
        <w:szCs w:val="18"/>
        <w:rtl w:val="0"/>
      </w:rPr>
      <w:t xml:space="preserve">ConfidentialPage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pBdr>
        <w:bottom w:color="2c5aa0" w:space="1" w:sz="6" w:val="single"/>
      </w:pBdr>
      <w:spacing w:after="120" w:lineRule="auto"/>
      <w:rPr/>
    </w:pPr>
    <w:r w:rsidDel="00000000" w:rsidR="00000000" w:rsidRPr="00000000">
      <w:rPr>
        <w:b w:val="1"/>
        <w:bCs w:val="1"/>
        <w:color w:val="2c5aa0"/>
        <w:sz w:val="20"/>
        <w:szCs w:val="20"/>
        <w:rtl w:val="0"/>
      </w:rPr>
      <w:t xml:space="preserve">Filing Ready</w:t>
    </w:r>
    <w:r w:rsidDel="00000000" w:rsidR="00000000" w:rsidRPr="00000000">
      <w:rPr>
        <w:color w:val="666666"/>
        <w:sz w:val="20"/>
        <w:szCs w:val="20"/>
        <w:rtl w:val="0"/>
      </w:rPr>
      <w:t xml:space="preserve">  |  USPTO Provisional Patent Application User Flows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Step %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Co_r9WqPGay0wQgDXQUrp7MsLAmnNEjy/view?usp=drive_link"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