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80" w:before="240" w:line="276" w:lineRule="auto"/>
        <w:jc w:val="both"/>
        <w:rPr>
          <w:rFonts w:ascii="Times New Roman" w:cs="Times New Roman" w:eastAsia="Times New Roman" w:hAnsi="Times New Roman"/>
          <w:color w:val="0244ae"/>
          <w:sz w:val="32"/>
          <w:szCs w:val="32"/>
        </w:rPr>
      </w:pPr>
      <w:r w:rsidDel="00000000" w:rsidR="00000000" w:rsidRPr="00000000">
        <w:rPr>
          <w:rFonts w:ascii="Times New Roman" w:cs="Times New Roman" w:eastAsia="Times New Roman" w:hAnsi="Times New Roman"/>
          <w:b w:val="1"/>
          <w:bCs w:val="1"/>
          <w:color w:val="0244ae"/>
          <w:sz w:val="32"/>
          <w:szCs w:val="32"/>
          <w:rtl w:val="0"/>
        </w:rPr>
        <w:t xml:space="preserve">THẮNG KIỆN CHƯA ĐỒNG NGHĨA VỚI THU HỒI ĐƯỢC TIỀN</w:t>
      </w:r>
      <w:r w:rsidDel="00000000" w:rsidR="00000000" w:rsidRPr="00000000">
        <w:rPr>
          <w:rtl w:val="0"/>
        </w:rPr>
      </w:r>
    </w:p>
    <w:p w:rsidR="00000000" w:rsidDel="00000000" w:rsidP="00000000" w:rsidRDefault="00000000" w:rsidRPr="00000000" w14:paraId="00000002">
      <w:pPr>
        <w:spacing w:after="80" w:line="276" w:lineRule="auto"/>
        <w:jc w:val="both"/>
        <w:rPr>
          <w:rFonts w:ascii="Times New Roman" w:cs="Times New Roman" w:eastAsia="Times New Roman" w:hAnsi="Times New Roman"/>
          <w:color w:val="0244ae"/>
          <w:sz w:val="26"/>
          <w:szCs w:val="26"/>
        </w:rPr>
      </w:pPr>
      <w:r w:rsidDel="00000000" w:rsidR="00000000" w:rsidRPr="00000000">
        <w:rPr>
          <w:rFonts w:ascii="Times New Roman" w:cs="Times New Roman" w:eastAsia="Times New Roman" w:hAnsi="Times New Roman"/>
          <w:color w:val="0244ae"/>
          <w:sz w:val="26"/>
          <w:szCs w:val="26"/>
          <w:rtl w:val="0"/>
        </w:rPr>
        <w:t xml:space="preserve">Từ quyền yêu cầu đến kết quả thực tế: những quyết định pháp lý cần cân nhắc ở mỗi giai đoạn</w:t>
      </w:r>
    </w:p>
    <w:p w:rsidR="00000000" w:rsidDel="00000000" w:rsidP="00000000" w:rsidRDefault="00000000" w:rsidRPr="00000000" w14:paraId="00000003">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doanh nghiệp đã giao hàng nhưng chưa nhận đủ tiền thanh toán. Một cá nhân cho vay, nhưng khoản tiền đến hạn vẫn chưa được hoàn trả. Một nhà cung cấp đã hoàn thành dịch vụ, song việc đối soát, thanh toán kéo dài. Mỗi trường hợp có bản chất pháp lý khác nhau, nhưng đều dẫn đến cùng một câu hỏi: làm thế nào để quyền được thanh toán trở thành khoản tiền thực nhận?</w:t>
      </w:r>
    </w:p>
    <w:p w:rsidR="00000000" w:rsidDel="00000000" w:rsidP="00000000" w:rsidRDefault="00000000" w:rsidRPr="00000000" w14:paraId="00000004">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kiện là một bước cần thiết, nhưng một Bản án có lợi chưa bảo đảm khoản tiền sẽ được thu hồi. Kết quả phụ thuộc vào nhiều quyết định liên tiếp: xác định đúng nghĩa vụ, chuẩn bị chứng cứ, lựa chọn phương thức giải quyết, bảo vệ khả năng thi hành và theo đuổi thủ tục thi hành án. Vì vậy, chiến lược cần được hình thành từ khi nhận diện tranh chấp, thay vì chỉ bắt đầu sau khi có bản án. Bài viết này mở đầu chuỗi Legal Insights của Công Ty Luật Trách Nhiệm Hữu Hạn Integritas Vũ Legal (Integritas Vũ Legal), phác họa những vấn đề sẽ được phân tích chuyên sâu trong các kỳ tiếp theo.</w:t>
      </w:r>
    </w:p>
    <w:p w:rsidR="00000000" w:rsidDel="00000000" w:rsidP="00000000" w:rsidRDefault="00000000" w:rsidRPr="00000000" w14:paraId="00000005">
      <w:pPr>
        <w:keepNext w:val="1"/>
        <w:spacing w:after="80" w:before="240" w:line="276" w:lineRule="auto"/>
        <w:jc w:val="both"/>
        <w:rPr>
          <w:rFonts w:ascii="Times New Roman" w:cs="Times New Roman" w:eastAsia="Times New Roman" w:hAnsi="Times New Roman"/>
          <w:color w:val="0244ae"/>
          <w:sz w:val="26"/>
          <w:szCs w:val="26"/>
        </w:rPr>
      </w:pPr>
      <w:r w:rsidDel="00000000" w:rsidR="00000000" w:rsidRPr="00000000">
        <w:rPr>
          <w:rFonts w:ascii="Times New Roman" w:cs="Times New Roman" w:eastAsia="Times New Roman" w:hAnsi="Times New Roman"/>
          <w:b w:val="1"/>
          <w:bCs w:val="1"/>
          <w:color w:val="0244ae"/>
          <w:sz w:val="26"/>
          <w:szCs w:val="26"/>
          <w:rtl w:val="0"/>
        </w:rPr>
        <w:t xml:space="preserve">01 | XÁC ĐỊNH ĐÚNG QUYỀN YÊU CẦU: TRANH CHẤP THỰC SỰ PHÁT SINH TỪ ĐÂU?</w:t>
      </w:r>
      <w:r w:rsidDel="00000000" w:rsidR="00000000" w:rsidRPr="00000000">
        <w:rPr>
          <w:rtl w:val="0"/>
        </w:rPr>
      </w:r>
    </w:p>
    <w:p w:rsidR="00000000" w:rsidDel="00000000" w:rsidP="00000000" w:rsidRDefault="00000000" w:rsidRPr="00000000" w14:paraId="00000006">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xuất phát không phải là số tiền dự kiến yêu cầu Tòa án buộc thanh toán, mà là bản chất pháp lý của giao dịch. Khoản tiền từ hợp đồng vay, mua bán hàng hóa, cung ứng dịch vụ, hoàn trả tài sản hoặc bồi thường thiệt hại có thể chịu những quy định khác nhau về thời hiệu, lãi, phạt vi phạm và trách nhiệm chứng minh. Cần kiểm tra hiệu lực giao dịch, chủ thể chịu nghĩa vụ, thời điểm đến hạn và cơ quan có thẩm quyền trước khi xác định phạm vi yêu cầu.</w:t>
      </w:r>
    </w:p>
    <w:p w:rsidR="00000000" w:rsidDel="00000000" w:rsidP="00000000" w:rsidRDefault="00000000" w:rsidRPr="00000000" w14:paraId="00000007">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xác định quan hệ pháp luật, chủ thể có nghĩa vụ, hiệu lực thỏa thuận, thời điểm đến hạn và phạm vi quyền yêu cầu. Nghĩa vụ của pháp nhân không mặc nhiên là nghĩa vụ cá nhân của người đại diện hoặc thành viên góp vốn; trách nhiệm của người bảo lãnh, nếu có, phải được đánh giá theo căn cứ riêng.</w:t>
      </w:r>
    </w:p>
    <w:p w:rsidR="00000000" w:rsidDel="00000000" w:rsidP="00000000" w:rsidRDefault="00000000" w:rsidRPr="00000000" w14:paraId="00000008">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là nghĩa vụ trả tiền, nhưng căn cứ tính lãi không giống nhau đối với mọi trường hợp. Đối với hợp đồng vay tài sản, cần xem xét thỏa thuận và các quy định có liên quan của Bộ luật Dân sự năm 2015, trong đó có Điều 466 và Điều 468; đối với khoản chậm thanh toán thuộc phạm vi Điều 306 Luật Thương mại năm 2005, việc xác định lãi chậm trả dựa trên cơ chế riêng, trừ trường hợp có thỏa thuận khác hoặc pháp luật có quy định khác; hay đối với trường hợp trách nhiệm do chậm thực hiện nghĩa vụ trả tiền cần phải tuân thủ theo quy định tại Điều 357 Bộ luật Dân sự năm 2015. Không nên đồng nhất lãi vay với lãi chậm thanh toán, cũng không gộp tiền gốc, lãi, phạt vi phạm và bồi thường khi mỗi khoản có căn cứ và điều kiện áp dụng riêng.</w:t>
      </w:r>
    </w:p>
    <w:p w:rsidR="00000000" w:rsidDel="00000000" w:rsidP="00000000" w:rsidRDefault="00000000" w:rsidRPr="00000000" w14:paraId="00000009">
      <w:pPr>
        <w:spacing w:after="80" w:line="276" w:lineRule="auto"/>
        <w:jc w:val="both"/>
        <w:rPr>
          <w:rFonts w:ascii="Times New Roman" w:cs="Times New Roman" w:eastAsia="Times New Roman" w:hAnsi="Times New Roman"/>
          <w:i w:val="1"/>
          <w:iCs w:val="1"/>
          <w:color w:val="0244ae"/>
          <w:sz w:val="26"/>
          <w:szCs w:val="26"/>
        </w:rPr>
      </w:pPr>
      <w:r w:rsidDel="00000000" w:rsidR="00000000" w:rsidRPr="00000000">
        <w:rPr>
          <w:rFonts w:ascii="Times New Roman" w:cs="Times New Roman" w:eastAsia="Times New Roman" w:hAnsi="Times New Roman"/>
          <w:i w:val="1"/>
          <w:iCs w:val="1"/>
          <w:color w:val="0244ae"/>
          <w:sz w:val="26"/>
          <w:szCs w:val="26"/>
          <w:rtl w:val="0"/>
        </w:rPr>
        <w:t xml:space="preserve">Góc phân tích tiếp theo: Xác định quan hệ tranh chấp, thời điểm phát sinh nghĩa vụ và phương pháp tính gốc, lãi, phạt, bồi thường như thế nào để tránh sai ngay từ yêu cầu ban đầu?</w:t>
      </w:r>
    </w:p>
    <w:p w:rsidR="00000000" w:rsidDel="00000000" w:rsidP="00000000" w:rsidRDefault="00000000" w:rsidRPr="00000000" w14:paraId="0000000A">
      <w:pPr>
        <w:keepNext w:val="1"/>
        <w:spacing w:after="80" w:before="240" w:line="276" w:lineRule="auto"/>
        <w:jc w:val="both"/>
        <w:rPr>
          <w:rFonts w:ascii="Times New Roman" w:cs="Times New Roman" w:eastAsia="Times New Roman" w:hAnsi="Times New Roman"/>
          <w:color w:val="0244ae"/>
          <w:sz w:val="26"/>
          <w:szCs w:val="26"/>
        </w:rPr>
      </w:pPr>
      <w:r w:rsidDel="00000000" w:rsidR="00000000" w:rsidRPr="00000000">
        <w:rPr>
          <w:rFonts w:ascii="Times New Roman" w:cs="Times New Roman" w:eastAsia="Times New Roman" w:hAnsi="Times New Roman"/>
          <w:b w:val="1"/>
          <w:bCs w:val="1"/>
          <w:color w:val="0244ae"/>
          <w:sz w:val="26"/>
          <w:szCs w:val="26"/>
          <w:rtl w:val="0"/>
        </w:rPr>
        <w:t xml:space="preserve">02 | CHỨNG CỨ VÀ KHẢ NĂNG THU HỒI: CÓ QUYỀN YÊU CẦU ĐÃ ĐỦ CHƯA?</w:t>
      </w:r>
      <w:r w:rsidDel="00000000" w:rsidR="00000000" w:rsidRPr="00000000">
        <w:rPr>
          <w:rtl w:val="0"/>
        </w:rPr>
      </w:r>
    </w:p>
    <w:p w:rsidR="00000000" w:rsidDel="00000000" w:rsidP="00000000" w:rsidRDefault="00000000" w:rsidRPr="00000000" w14:paraId="0000000B">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cần thể hiện được diễn biến giao dịch: thỏa thuận, việc giao tiền hoặc thực hiện nghĩa vụ, thời điểm đến hạn, các khoản đã thanh toán và số dư còn lại. Hợp đồng là điểm khởi đầu, không phải toàn bộ chứng cứ. Chứng từ chuyển khoản, biên bản giao nhận, nghiệm thu, đối chiếu công nợ và dữ liệu điện tử có thể giữ vai trò quyết định. Điều 91 Bộ luật Tố tụng dân sự năm 2015 quy định về nghĩa vụ chứng minh; việc đánh giá phải gắn với từng yêu cầu và từng tình tiết cần làm rõ. Hợp đồng, chứng từ ngân hàng, biên bản giao nhận, email, tin nhắn hoặc dữ liệu điện tử cần được đánh giá về nguồn gốc, tính xác thực, khả năng tiếp cận và giá trị chứng minh theo quy định tố tụng; không phải cứ có bản chụp là đương nhiên được chấp nhận.</w:t>
      </w:r>
    </w:p>
    <w:p w:rsidR="00000000" w:rsidDel="00000000" w:rsidP="00000000" w:rsidRDefault="00000000" w:rsidRPr="00000000" w14:paraId="0000000C">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song với chứng cứ về quyền yêu cầu, cần đánh giá khả năng thực hiện nghĩa vụ của bên đối diện trong phạm vi thông tin được tiếp cận hợp pháp: tình trạng tài sản, quyền của bên thứ ba, nghĩa vụ bảo đảm và dấu hiệu mất khả năng thanh toán. Đánh giá này không đồng nghĩa với việc bảo đảm kết quả thu hồi, nhưng giúp nhận diện rủi ro trước khi lựa chọn phương án.</w:t>
      </w:r>
    </w:p>
    <w:p w:rsidR="00000000" w:rsidDel="00000000" w:rsidP="00000000" w:rsidRDefault="00000000" w:rsidRPr="00000000" w14:paraId="0000000D">
      <w:pPr>
        <w:spacing w:after="80" w:line="276" w:lineRule="auto"/>
        <w:jc w:val="both"/>
        <w:rPr>
          <w:rFonts w:ascii="Times New Roman" w:cs="Times New Roman" w:eastAsia="Times New Roman" w:hAnsi="Times New Roman"/>
          <w:i w:val="1"/>
          <w:iCs w:val="1"/>
          <w:color w:val="0244ae"/>
          <w:sz w:val="26"/>
          <w:szCs w:val="26"/>
        </w:rPr>
      </w:pPr>
      <w:r w:rsidDel="00000000" w:rsidR="00000000" w:rsidRPr="00000000">
        <w:rPr>
          <w:rFonts w:ascii="Times New Roman" w:cs="Times New Roman" w:eastAsia="Times New Roman" w:hAnsi="Times New Roman"/>
          <w:i w:val="1"/>
          <w:iCs w:val="1"/>
          <w:color w:val="0244ae"/>
          <w:sz w:val="26"/>
          <w:szCs w:val="26"/>
          <w:rtl w:val="0"/>
        </w:rPr>
        <w:t xml:space="preserve">Góc phân tích tiếp theo: Ai có nghĩa vụ chứng minh, chứng cứ điện tử được sử dụng ra sao và cần kiểm tra những gì trước khi nộp hồ sơ?</w:t>
      </w:r>
    </w:p>
    <w:p w:rsidR="00000000" w:rsidDel="00000000" w:rsidP="00000000" w:rsidRDefault="00000000" w:rsidRPr="00000000" w14:paraId="0000000E">
      <w:pPr>
        <w:keepNext w:val="1"/>
        <w:spacing w:after="80" w:before="240" w:line="276" w:lineRule="auto"/>
        <w:jc w:val="both"/>
        <w:rPr>
          <w:rFonts w:ascii="Times New Roman" w:cs="Times New Roman" w:eastAsia="Times New Roman" w:hAnsi="Times New Roman"/>
          <w:color w:val="0244ae"/>
          <w:sz w:val="26"/>
          <w:szCs w:val="26"/>
        </w:rPr>
      </w:pPr>
      <w:r w:rsidDel="00000000" w:rsidR="00000000" w:rsidRPr="00000000">
        <w:rPr>
          <w:rFonts w:ascii="Times New Roman" w:cs="Times New Roman" w:eastAsia="Times New Roman" w:hAnsi="Times New Roman"/>
          <w:b w:val="1"/>
          <w:bCs w:val="1"/>
          <w:color w:val="0244ae"/>
          <w:sz w:val="26"/>
          <w:szCs w:val="26"/>
          <w:rtl w:val="0"/>
        </w:rPr>
        <w:t xml:space="preserve">03 | LỰA CHỌN CHIẾN LƯỢC: THƯƠNG LƯỢNG HAY KHỞI KIỆN?</w:t>
      </w:r>
      <w:r w:rsidDel="00000000" w:rsidR="00000000" w:rsidRPr="00000000">
        <w:rPr>
          <w:rtl w:val="0"/>
        </w:rPr>
      </w:r>
    </w:p>
    <w:p w:rsidR="00000000" w:rsidDel="00000000" w:rsidP="00000000" w:rsidRDefault="00000000" w:rsidRPr="00000000" w14:paraId="0000000F">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phải tranh chấp nào cũng nên lập tức đưa ra Tòa án hay Trọng tài. Tùy tính chất giao dịch, thỏa thuận giải quyết tranh chấp và điều kiện pháp luật, các bên có thể lựa chọn thương lượng, hòa giải, Trọng tài hoặc Tòa án. Riêng Trọng tài chỉ có thẩm quyền khi đáp ứng điều kiện luật định, trong đó có thỏa thuận trọng tài hợp lệ. Mỗi phương án cần được cân nhắc đồng thời về thời hiệu, chi phí, thời gian, chứng cứ, khả năng thi hành và mục tiêu của khách hàng.</w:t>
      </w:r>
    </w:p>
    <w:p w:rsidR="00000000" w:rsidDel="00000000" w:rsidP="00000000" w:rsidRDefault="00000000" w:rsidRPr="00000000" w14:paraId="00000010">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lựa chọn thỏa thuận thanh toán, nội dung cần làm rõ số tiền, thời hạn, hệ quả vi phạm, biện pháp bảo đảm và cách thức ghi nhận. Nếu lựa chọn tố tụng, yêu cầu phải được xây dựng nhất quán với chứng cứ và căn cứ pháp lý; thương lượng kéo dài cũng không nên khiến bên có quyền bỏ lỡ thời hiệu hoặc cơ hội bảo vệ tài sản.</w:t>
      </w:r>
    </w:p>
    <w:p w:rsidR="00000000" w:rsidDel="00000000" w:rsidP="00000000" w:rsidRDefault="00000000" w:rsidRPr="00000000" w14:paraId="00000011">
      <w:pPr>
        <w:spacing w:after="80" w:line="276" w:lineRule="auto"/>
        <w:jc w:val="both"/>
        <w:rPr>
          <w:rFonts w:ascii="Times New Roman" w:cs="Times New Roman" w:eastAsia="Times New Roman" w:hAnsi="Times New Roman"/>
          <w:i w:val="1"/>
          <w:iCs w:val="1"/>
          <w:color w:val="0244ae"/>
          <w:sz w:val="26"/>
          <w:szCs w:val="26"/>
        </w:rPr>
      </w:pPr>
      <w:r w:rsidDel="00000000" w:rsidR="00000000" w:rsidRPr="00000000">
        <w:rPr>
          <w:rFonts w:ascii="Times New Roman" w:cs="Times New Roman" w:eastAsia="Times New Roman" w:hAnsi="Times New Roman"/>
          <w:i w:val="1"/>
          <w:iCs w:val="1"/>
          <w:color w:val="0244ae"/>
          <w:sz w:val="26"/>
          <w:szCs w:val="26"/>
          <w:rtl w:val="0"/>
        </w:rPr>
        <w:t xml:space="preserve">Góc phân tích tiếp theo: Khi nào thương lượng có lợi hơn khởi kiện, và đâu là những dấu hiệu cho thấy cần thay đổi chiến lược?</w:t>
      </w:r>
    </w:p>
    <w:p w:rsidR="00000000" w:rsidDel="00000000" w:rsidP="00000000" w:rsidRDefault="00000000" w:rsidRPr="00000000" w14:paraId="00000012">
      <w:pPr>
        <w:keepNext w:val="1"/>
        <w:spacing w:after="80" w:before="240" w:line="276" w:lineRule="auto"/>
        <w:jc w:val="both"/>
        <w:rPr>
          <w:rFonts w:ascii="Times New Roman" w:cs="Times New Roman" w:eastAsia="Times New Roman" w:hAnsi="Times New Roman"/>
          <w:color w:val="0244ae"/>
          <w:sz w:val="26"/>
          <w:szCs w:val="26"/>
        </w:rPr>
      </w:pPr>
      <w:r w:rsidDel="00000000" w:rsidR="00000000" w:rsidRPr="00000000">
        <w:rPr>
          <w:rFonts w:ascii="Times New Roman" w:cs="Times New Roman" w:eastAsia="Times New Roman" w:hAnsi="Times New Roman"/>
          <w:b w:val="1"/>
          <w:bCs w:val="1"/>
          <w:color w:val="0244ae"/>
          <w:sz w:val="26"/>
          <w:szCs w:val="26"/>
          <w:rtl w:val="0"/>
        </w:rPr>
        <w:t xml:space="preserve">04 | BẢO TOÀN TÀI SẢN: THẮNG KIỆN CÓ CÒN ĐIỀU KIỆN ĐỂ THI HÀNH?</w:t>
      </w:r>
      <w:r w:rsidDel="00000000" w:rsidR="00000000" w:rsidRPr="00000000">
        <w:rPr>
          <w:rtl w:val="0"/>
        </w:rPr>
      </w:r>
    </w:p>
    <w:p w:rsidR="00000000" w:rsidDel="00000000" w:rsidP="00000000" w:rsidRDefault="00000000" w:rsidRPr="00000000" w14:paraId="00000013">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yêu cầu có căn cứ pháp lý chưa đủ để bảo đảm kết quả thu hồi. Việc đánh giá, bằng những nguồn thông tin được tiếp cận hợp pháp, cần hướng đến tình trạng tài sản của bên có nghĩa vụ, các quyền bảo đảm của người thứ ba và nguy cơ mất khả năng thanh toán. Những dữ kiện này không cho phép dự đoán chắc chắn kết quả thi hành án, nhưng giúp xác định giới hạn và thời điểm cần hành động.</w:t>
      </w:r>
    </w:p>
    <w:p w:rsidR="00000000" w:rsidDel="00000000" w:rsidP="00000000" w:rsidRDefault="00000000" w:rsidRPr="00000000" w14:paraId="00000014">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giải quyết vụ án, nguy cơ thay đổi tình trạng tài sản có thể ảnh hưởng đến khả năng thi hành án. Điều 111 và Điều 114 Bộ luật Tố tụng dân sự năm 2015 quy định quyền yêu cầu và các biện pháp khẩn cấp tạm thời, trong đó có phong tỏa tài khoản, kê biên tài sản đang tranh chấp, cấm thay đổi hiện trạng tài sản đang tranh chấp, phong tỏa tài sản của người có nghĩa vụ, cấm hoặc buộc thực hiện hành vi nhất định… . Không phải cứ nộp đơn khởi kiện là được phong tỏa: người yêu cầu phải đưa ra căn cứ, tuân thủ phạm vi, thủ tục và thực hiện biện pháp bảo đảm khi pháp luật yêu cầu; yêu cầu không đúng có thể làm phát sinh trách nhiệm bồi thường.</w:t>
      </w:r>
    </w:p>
    <w:p w:rsidR="00000000" w:rsidDel="00000000" w:rsidP="00000000" w:rsidRDefault="00000000" w:rsidRPr="00000000" w14:paraId="00000015">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tiễn áp dụng cũng đặt ra giới hạn đáng kể. Nghị quyết 02/2020/NQ-HĐTP hướng dẫn các trường hợp không được áp dụng một số biện pháp khẩn cấp tạm thời, bao gồm các tình huống liên quan đến quyền của bên nhận bảo đảm và hoạt động của doanh nghiệp. Do đó, chiến lược bảo toàn tài sản phải dựa trên tính chất tài sản, chứng cứ và mức độ cần thiết, thay vì coi phong tỏa là bước thủ tục mặc định.</w:t>
      </w:r>
    </w:p>
    <w:p w:rsidR="00000000" w:rsidDel="00000000" w:rsidP="00000000" w:rsidRDefault="00000000" w:rsidRPr="00000000" w14:paraId="00000016">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các bên đạt được thỏa thuận trong quá trình giải quyết tranh chấp, điều quan trọng không chỉ là số tiền cam kết trả mà còn là lịch thanh toán, điều kiện vi phạm, biện pháp bảo đảm và hình thức ghi nhận thỏa thuận. Một phương án thanh toán có thể khả thi về thương mại nhưng thiếu cơ chế pháp lý rõ ràng sẽ dễ phát sinh tranh chấp mới.</w:t>
      </w:r>
    </w:p>
    <w:p w:rsidR="00000000" w:rsidDel="00000000" w:rsidP="00000000" w:rsidRDefault="00000000" w:rsidRPr="00000000" w14:paraId="00000017">
      <w:pPr>
        <w:spacing w:after="80" w:line="276" w:lineRule="auto"/>
        <w:jc w:val="both"/>
        <w:rPr>
          <w:rFonts w:ascii="Times New Roman" w:cs="Times New Roman" w:eastAsia="Times New Roman" w:hAnsi="Times New Roman"/>
          <w:i w:val="1"/>
          <w:iCs w:val="1"/>
          <w:color w:val="0244ae"/>
          <w:sz w:val="26"/>
          <w:szCs w:val="26"/>
        </w:rPr>
      </w:pPr>
      <w:r w:rsidDel="00000000" w:rsidR="00000000" w:rsidRPr="00000000">
        <w:rPr>
          <w:rFonts w:ascii="Times New Roman" w:cs="Times New Roman" w:eastAsia="Times New Roman" w:hAnsi="Times New Roman"/>
          <w:i w:val="1"/>
          <w:iCs w:val="1"/>
          <w:color w:val="0244ae"/>
          <w:sz w:val="26"/>
          <w:szCs w:val="26"/>
          <w:rtl w:val="0"/>
        </w:rPr>
        <w:t xml:space="preserve">Góc phân tích tiếp theo: Khi nào có thể yêu cầu phong tỏa tài sản, cần chứng minh điều gì và rủi ro pháp lý nằm ở đâu?</w:t>
      </w:r>
    </w:p>
    <w:p w:rsidR="00000000" w:rsidDel="00000000" w:rsidP="00000000" w:rsidRDefault="00000000" w:rsidRPr="00000000" w14:paraId="00000018">
      <w:pPr>
        <w:keepNext w:val="1"/>
        <w:spacing w:after="80" w:before="240" w:line="276" w:lineRule="auto"/>
        <w:jc w:val="both"/>
        <w:rPr>
          <w:rFonts w:ascii="Times New Roman" w:cs="Times New Roman" w:eastAsia="Times New Roman" w:hAnsi="Times New Roman"/>
          <w:color w:val="0244ae"/>
          <w:sz w:val="26"/>
          <w:szCs w:val="26"/>
        </w:rPr>
      </w:pPr>
      <w:r w:rsidDel="00000000" w:rsidR="00000000" w:rsidRPr="00000000">
        <w:rPr>
          <w:rFonts w:ascii="Times New Roman" w:cs="Times New Roman" w:eastAsia="Times New Roman" w:hAnsi="Times New Roman"/>
          <w:b w:val="1"/>
          <w:bCs w:val="1"/>
          <w:color w:val="0244ae"/>
          <w:sz w:val="26"/>
          <w:szCs w:val="26"/>
          <w:rtl w:val="0"/>
        </w:rPr>
        <w:t xml:space="preserve">05 | THI HÀNH ÁN: TỪ BẢN ÁN CÓ HIỆU LỰC ĐẾN KHOẢN TIỀN THỰC NHẬN</w:t>
      </w:r>
      <w:r w:rsidDel="00000000" w:rsidR="00000000" w:rsidRPr="00000000">
        <w:rPr>
          <w:rtl w:val="0"/>
        </w:rPr>
      </w:r>
    </w:p>
    <w:p w:rsidR="00000000" w:rsidDel="00000000" w:rsidP="00000000" w:rsidRDefault="00000000" w:rsidRPr="00000000" w14:paraId="00000019">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bản án, quyết định thuộc diện thi hành theo yêu cầu, người được thi hành án cần chú ý thời hiệu yêu cầu, nội dung được thi hành và các bước tiếp theo. Luật Thi hành án dân sự số 106/2025/QH15 có hiệu lực từ ngày 01/7/2026, quy định về trình tự yêu cầu, thời hạn tự nguyện và xác minh điều kiện thi hành án; với hồ sơ đã được thụ lý hoặc tổ chức thi hành trước thời điểm này, cần kiểm tra quy định chuyển tiếp tương ứng. Bản án có hiệu lực không đồng nghĩa với việc khoản tiền được tự động chuyển trả.</w:t>
      </w:r>
    </w:p>
    <w:p w:rsidR="00000000" w:rsidDel="00000000" w:rsidP="00000000" w:rsidRDefault="00000000" w:rsidRPr="00000000" w14:paraId="0000001A">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tài sản, thu nhập, tài khoản, khoản phải thu và quyền tài sản của người phải thi hành án có ý nghĩa thiết thực đối với việc xác minh điều kiện thi hành án. Điều 37 Luật Thi hành án dân sự năm 2025 quy định về hoạt động xác minh của Chấp hành viên. Tuy nhiên, không phải mọi trường hợp chưa thanh toán đều là cố tình né tránh: cần phân biệt trường hợp thực sự chưa có điều kiện thi hành án với trường hợp có điều kiện nhưng không chấp hành.</w:t>
      </w:r>
    </w:p>
    <w:p w:rsidR="00000000" w:rsidDel="00000000" w:rsidP="00000000" w:rsidRDefault="00000000" w:rsidRPr="00000000" w14:paraId="0000001B">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phát hiện dấu hiệu che giấu, chuyển dịch hoặc tẩu tán tài sản, người được thi hành án cần kịp thời cung cấp tài liệu có căn cứ cho cơ quan có thẩm quyền để xem xét theo trình tự pháp luật. Việc lựa chọn biện pháp xử lý phải dựa trên hành vi và chứng cứ cụ thể; không nên mặc nhiên coi mọi giao dịch chuyển nhượng tài sản của bên có nghĩa vụ là bất hợp pháp.</w:t>
      </w:r>
    </w:p>
    <w:p w:rsidR="00000000" w:rsidDel="00000000" w:rsidP="00000000" w:rsidRDefault="00000000" w:rsidRPr="00000000" w14:paraId="0000001C">
      <w:pPr>
        <w:spacing w:after="80" w:line="276" w:lineRule="auto"/>
        <w:jc w:val="both"/>
        <w:rPr>
          <w:rFonts w:ascii="Times New Roman" w:cs="Times New Roman" w:eastAsia="Times New Roman" w:hAnsi="Times New Roman"/>
          <w:i w:val="1"/>
          <w:iCs w:val="1"/>
          <w:color w:val="0244ae"/>
          <w:sz w:val="26"/>
          <w:szCs w:val="26"/>
        </w:rPr>
      </w:pPr>
      <w:r w:rsidDel="00000000" w:rsidR="00000000" w:rsidRPr="00000000">
        <w:rPr>
          <w:rFonts w:ascii="Times New Roman" w:cs="Times New Roman" w:eastAsia="Times New Roman" w:hAnsi="Times New Roman"/>
          <w:i w:val="1"/>
          <w:iCs w:val="1"/>
          <w:color w:val="0244ae"/>
          <w:sz w:val="26"/>
          <w:szCs w:val="26"/>
          <w:rtl w:val="0"/>
        </w:rPr>
        <w:t xml:space="preserve">Góc phân tích tiếp theo: Thủ tục yêu cầu thi hành án, xác minh tài sản, biện pháp cưỡng chế và chiến lược thi hành án?</w:t>
      </w:r>
    </w:p>
    <w:p w:rsidR="00000000" w:rsidDel="00000000" w:rsidP="00000000" w:rsidRDefault="00000000" w:rsidRPr="00000000" w14:paraId="0000001D">
      <w:pPr>
        <w:keepNext w:val="1"/>
        <w:spacing w:after="80" w:before="240" w:line="276" w:lineRule="auto"/>
        <w:jc w:val="both"/>
        <w:rPr>
          <w:rFonts w:ascii="Times New Roman" w:cs="Times New Roman" w:eastAsia="Times New Roman" w:hAnsi="Times New Roman"/>
          <w:color w:val="0244ae"/>
          <w:sz w:val="26"/>
          <w:szCs w:val="26"/>
        </w:rPr>
      </w:pPr>
      <w:r w:rsidDel="00000000" w:rsidR="00000000" w:rsidRPr="00000000">
        <w:rPr>
          <w:rFonts w:ascii="Times New Roman" w:cs="Times New Roman" w:eastAsia="Times New Roman" w:hAnsi="Times New Roman"/>
          <w:b w:val="1"/>
          <w:bCs w:val="1"/>
          <w:color w:val="0244ae"/>
          <w:sz w:val="26"/>
          <w:szCs w:val="26"/>
          <w:rtl w:val="0"/>
        </w:rPr>
        <w:t xml:space="preserve">06 | KHI KHÔNG CHẤP HÀNH BẢN ÁN: RANH GIỚI GIỮA TRÁCH NHIỆM DÂN SỰ VÀ HÌNH SỰ</w:t>
      </w:r>
      <w:r w:rsidDel="00000000" w:rsidR="00000000" w:rsidRPr="00000000">
        <w:rPr>
          <w:rtl w:val="0"/>
        </w:rPr>
      </w:r>
    </w:p>
    <w:p w:rsidR="00000000" w:rsidDel="00000000" w:rsidP="00000000" w:rsidRDefault="00000000" w:rsidRPr="00000000" w14:paraId="0000001E">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chưa thực hiện nghĩa vụ thanh toán theo bản án không đương nhiên cấu thành tội phạm. Điều 380 Bộ luật Hình sự đặt ra những dấu hiệu pháp lý cụ thể đối với hành vi không chấp hành bản án, quyết định của Tòa án đã có hiệu lực, bao gồm điều kiện chấp hành và các điều kiện khác theo điều luật. Vì vậy, việc xem xét trách nhiệm hình sự phải dựa trên chứng cứ và đầy đủ yếu tố cấu thành, không thể chỉ căn cứ vào tình trạng chậm thanh toán.</w:t>
      </w:r>
    </w:p>
    <w:p w:rsidR="00000000" w:rsidDel="00000000" w:rsidP="00000000" w:rsidRDefault="00000000" w:rsidRPr="00000000" w14:paraId="0000001F">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cần phân biệt rõ hai tình huống: không thực hiện được nghĩa vụ do thực sự thiếu điều kiện thi hành án và có điều kiện nhưng không chấp hành khi đã hội đủ các dấu hiệu pháp lý của tội phạm. Cũng cần phân biệt tranh chấp nghĩa vụ thanh toán thông thường với trường hợp có dấu hiệu gian dối hoặc chiếm đoạt tài sản ngay từ quá trình xác lập, thực hiện giao dịch; việc xem xét các tội danh khác, nếu có, phải dựa trên yếu tố cấu thành riêng, không suy ra chỉ từ việc không trả tiền.</w:t>
      </w:r>
    </w:p>
    <w:p w:rsidR="00000000" w:rsidDel="00000000" w:rsidP="00000000" w:rsidRDefault="00000000" w:rsidRPr="00000000" w14:paraId="00000020">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vụ việc được phản ánh trên báo chí có thể gợi mở vấn đề thực tiễn, nhưng không thay thế việc đối chiếu bản án, quyết định và hồ sơ chính thức. Vì vậy, bài viết mở đầu này không sử dụng một vụ án chưa được kiểm chứng đầy đủ làm căn cứ khái quát hóa trách nhiệm hình sự đối với tranh chấp về nghĩa vụ thanh toán.</w:t>
      </w:r>
    </w:p>
    <w:p w:rsidR="00000000" w:rsidDel="00000000" w:rsidP="00000000" w:rsidRDefault="00000000" w:rsidRPr="00000000" w14:paraId="00000021">
      <w:pPr>
        <w:spacing w:after="80" w:line="276" w:lineRule="auto"/>
        <w:jc w:val="both"/>
        <w:rPr>
          <w:rFonts w:ascii="Times New Roman" w:cs="Times New Roman" w:eastAsia="Times New Roman" w:hAnsi="Times New Roman"/>
          <w:i w:val="1"/>
          <w:iCs w:val="1"/>
          <w:color w:val="0244ae"/>
          <w:sz w:val="26"/>
          <w:szCs w:val="26"/>
        </w:rPr>
      </w:pPr>
      <w:r w:rsidDel="00000000" w:rsidR="00000000" w:rsidRPr="00000000">
        <w:rPr>
          <w:rFonts w:ascii="Times New Roman" w:cs="Times New Roman" w:eastAsia="Times New Roman" w:hAnsi="Times New Roman"/>
          <w:i w:val="1"/>
          <w:iCs w:val="1"/>
          <w:color w:val="0244ae"/>
          <w:sz w:val="26"/>
          <w:szCs w:val="26"/>
          <w:rtl w:val="0"/>
        </w:rPr>
        <w:t xml:space="preserve">Góc phân tích tiếp theo: Khi nào việc không chấp hành bản án có thể bị xem xét theo pháp luật hình sự, và đâu là giới hạn cần phân biệt với trách nhiệm dân sự?</w:t>
      </w:r>
    </w:p>
    <w:p w:rsidR="00000000" w:rsidDel="00000000" w:rsidP="00000000" w:rsidRDefault="00000000" w:rsidRPr="00000000" w14:paraId="00000022">
      <w:pPr>
        <w:keepNext w:val="1"/>
        <w:spacing w:after="80" w:before="240" w:line="276" w:lineRule="auto"/>
        <w:jc w:val="both"/>
        <w:rPr>
          <w:rFonts w:ascii="Times New Roman" w:cs="Times New Roman" w:eastAsia="Times New Roman" w:hAnsi="Times New Roman"/>
          <w:color w:val="0244ae"/>
          <w:sz w:val="26"/>
          <w:szCs w:val="26"/>
        </w:rPr>
      </w:pPr>
      <w:r w:rsidDel="00000000" w:rsidR="00000000" w:rsidRPr="00000000">
        <w:rPr>
          <w:rFonts w:ascii="Times New Roman" w:cs="Times New Roman" w:eastAsia="Times New Roman" w:hAnsi="Times New Roman"/>
          <w:b w:val="1"/>
          <w:bCs w:val="1"/>
          <w:color w:val="0244ae"/>
          <w:sz w:val="26"/>
          <w:szCs w:val="26"/>
          <w:rtl w:val="0"/>
        </w:rPr>
        <w:t xml:space="preserve">MỘT CHIẾN LƯỢC XUYÊN SUỐT – CÁCH TIẾP CẬN CỦA INTEGRITAS VŨ LEGAL</w:t>
      </w:r>
      <w:r w:rsidDel="00000000" w:rsidR="00000000" w:rsidRPr="00000000">
        <w:rPr>
          <w:rtl w:val="0"/>
        </w:rPr>
      </w:r>
    </w:p>
    <w:p w:rsidR="00000000" w:rsidDel="00000000" w:rsidP="00000000" w:rsidRDefault="00000000" w:rsidRPr="00000000" w14:paraId="00000023">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Integritas Vũ Legal, chúng tôi không mặc định khởi kiện là bước đi đầu tiên, cũng không xem bản án là điểm kết thúc. Mỗi hồ sơ được tiếp cận theo bốn bước: Tìm hiểu giao dịch và mục tiêu thực chất của khách hàng - Đánh giá vị thế pháp lý, chứng cứ, rủi ro và khả năng thi hành - Xây dựng chiến lược phù hợp trong giới hạn pháp luật - Triển khai, điều chỉnh theo diễn biến vụ việc. Với định hướng boutique law firm, Integritas Vũ Legal chú trọng sự tham gia sát sao, nhận định độc lập và giải pháp được lên kế hoạch riêng, không đồng nhất, sự quyết liệt với hiệu quả.</w:t>
      </w:r>
    </w:p>
    <w:p w:rsidR="00000000" w:rsidDel="00000000" w:rsidP="00000000" w:rsidRDefault="00000000" w:rsidRPr="00000000" w14:paraId="00000024">
      <w:pPr>
        <w:keepNext w:val="1"/>
        <w:spacing w:after="80" w:before="240" w:line="276" w:lineRule="auto"/>
        <w:jc w:val="both"/>
        <w:rPr>
          <w:rFonts w:ascii="Times New Roman" w:cs="Times New Roman" w:eastAsia="Times New Roman" w:hAnsi="Times New Roman"/>
          <w:color w:val="0244ae"/>
          <w:sz w:val="26"/>
          <w:szCs w:val="26"/>
        </w:rPr>
      </w:pPr>
      <w:r w:rsidDel="00000000" w:rsidR="00000000" w:rsidRPr="00000000">
        <w:rPr>
          <w:rFonts w:ascii="Times New Roman" w:cs="Times New Roman" w:eastAsia="Times New Roman" w:hAnsi="Times New Roman"/>
          <w:b w:val="1"/>
          <w:bCs w:val="1"/>
          <w:color w:val="0244ae"/>
          <w:sz w:val="26"/>
          <w:szCs w:val="26"/>
          <w:rtl w:val="0"/>
        </w:rPr>
        <w:t xml:space="preserve">ĐÓN ĐỌC CHUỖI LEGAL INSIGHTS | TỪ NHẬN DIỆN QUYỀN ĐẾN THỰC THI QUYỀN</w:t>
      </w:r>
      <w:r w:rsidDel="00000000" w:rsidR="00000000" w:rsidRPr="00000000">
        <w:rPr>
          <w:rtl w:val="0"/>
        </w:rPr>
      </w:r>
    </w:p>
    <w:p w:rsidR="00000000" w:rsidDel="00000000" w:rsidP="00000000" w:rsidRDefault="00000000" w:rsidRPr="00000000" w14:paraId="00000025">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bài mở đầu của chuỗi phân tích chuyên sâu về các khoản tiền phải thu phát sinh từ quan hệ dân sự và thương mại. Các bài tiếp theo sẽ lần lượt đi sâu vào: (1) Lựa chọn chiến lược pháp lý; (2) Xác định quan hệ tranh chấp và tính các khoản gốc, lãi, phạt, bồi thường; (3) Nghĩa vụ chứng minh và chứng cứ điện tử; (4) Bảo toàn tài sản trong tố tụng; (5) Thủ tục và chiến lược thi hành án; và (6) Ranh giới giữa trách nhiệm dân sự và hình sự. Mỗi bài sẽ tập trung giải đáp một nhóm câu hỏi thực tiễn, trên cơ sở quy định pháp luật và nguồn tư liệu có thể kiểm chứng.</w:t>
      </w:r>
    </w:p>
    <w:p w:rsidR="00000000" w:rsidDel="00000000" w:rsidP="00000000" w:rsidRDefault="00000000" w:rsidRPr="00000000" w14:paraId="00000026">
      <w:pPr>
        <w:spacing w:after="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Legal Insights của Integritas Vũ Legal để tiếp tục khám phá những quyết định pháp lý có thể ảnh hưởng đến kết quả giải quyết tranh chấp. Một chiến lược phù hợp không chỉ cần đúng luật mà còn phải được xây dựng từ đặc thù của từng giao dịch, mức độ rủi ro và mục tiêu thực tế của khách hàng.</w:t>
      </w:r>
    </w:p>
    <w:p w:rsidR="00000000" w:rsidDel="00000000" w:rsidP="00000000" w:rsidRDefault="00000000" w:rsidRPr="00000000" w14:paraId="00000027">
      <w:pPr>
        <w:keepNext w:val="1"/>
        <w:spacing w:after="80" w:before="240" w:line="276"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color w:val="0244ae"/>
          <w:sz w:val="26"/>
          <w:szCs w:val="26"/>
          <w:rtl w:val="0"/>
        </w:rPr>
        <w:t xml:space="preserve">THÔNG BÁO PHÁP LÝ VÀ QUYỀN TÁC GIẢ</w:t>
      </w:r>
      <w:r w:rsidDel="00000000" w:rsidR="00000000" w:rsidRPr="00000000">
        <w:rPr>
          <w:rtl w:val="0"/>
        </w:rPr>
      </w:r>
    </w:p>
    <w:p w:rsidR="00000000" w:rsidDel="00000000" w:rsidP="00000000" w:rsidRDefault="00000000" w:rsidRPr="00000000" w14:paraId="00000028">
      <w:pPr>
        <w:spacing w:after="8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2026 Integritas Vũ Legal. Nội dung bài viết do Integritas Vũ Legal biên soạn và công bố; các quyền đối với phần nội dung thuộc phạm vi bảo hộ được thực hiện theo quy định pháp luật về sở hữu trí tuệ. Không được sao chép, chỉnh sửa, tái bản, phân phối hoặc khai thác nội dung vì mục đích thương mại khi chưa có sự chấp thuận của chủ thể có quyền, trừ các trường hợp được pháp luật cho phép. Khi trích dẫn hợp pháp, đề nghị ghi rõ nguồn và đường dẫn đến bài viết gốc.</w:t>
      </w:r>
    </w:p>
    <w:p w:rsidR="00000000" w:rsidDel="00000000" w:rsidP="00000000" w:rsidRDefault="00000000" w:rsidRPr="00000000" w14:paraId="00000029">
      <w:pPr>
        <w:spacing w:after="80" w:line="276" w:lineRule="auto"/>
        <w:jc w:val="both"/>
        <w:rPr>
          <w:rFonts w:ascii="Times New Roman" w:cs="Times New Roman" w:eastAsia="Times New Roman" w:hAnsi="Times New Roman"/>
          <w:b w:val="1"/>
          <w:bCs w:val="1"/>
          <w:sz w:val="45"/>
          <w:szCs w:val="45"/>
        </w:rPr>
      </w:pPr>
      <w:r w:rsidDel="00000000" w:rsidR="00000000" w:rsidRPr="00000000">
        <w:rPr>
          <w:rFonts w:ascii="Times New Roman" w:cs="Times New Roman" w:eastAsia="Times New Roman" w:hAnsi="Times New Roman"/>
          <w:i w:val="1"/>
          <w:iCs w:val="1"/>
          <w:sz w:val="26"/>
          <w:szCs w:val="26"/>
          <w:rtl w:val="0"/>
        </w:rPr>
        <w:t xml:space="preserve">Bài viết chỉ cung cấp thông tin pháp lý tổng quát tại thời điểm công bố, không phải ý kiến tư vấn pháp lý cho một vụ việc cụ thể, không tạo lập quan hệ luật sư – khách hàng và không thay thế việc đánh giá hồ sơ, chứng cứ, thỏa thuận và quy định áp dụng. Người đọc không nên tự ý dựa duy nhất vào nội dung này để thực hiện, trì hoãn hoặc từ bỏ bất kỳ biện pháp pháp lý nào. Kết quả xử lý phụ thuộc vào tình tiết và pháp luật áp dụng trong từng trường hợp; nội dung có thể cần cập nhật khi pháp luật hoặc thực tiễn áp dụng thay đổi.</w:t>
      </w:r>
      <w:r w:rsidDel="00000000" w:rsidR="00000000" w:rsidRPr="00000000">
        <w:rPr>
          <w:rtl w:val="0"/>
        </w:rPr>
      </w:r>
    </w:p>
    <w:p w:rsidR="00000000" w:rsidDel="00000000" w:rsidP="00000000" w:rsidRDefault="00000000" w:rsidRPr="00000000" w14:paraId="0000002A">
      <w:pPr>
        <w:spacing w:after="120" w:lineRule="auto"/>
        <w:rPr>
          <w:rFonts w:ascii="Times New Roman" w:cs="Times New Roman" w:eastAsia="Times New Roman" w:hAnsi="Times New Roman"/>
          <w:b w:val="1"/>
          <w:bCs w:val="1"/>
          <w:sz w:val="45"/>
          <w:szCs w:val="45"/>
        </w:rPr>
      </w:pPr>
      <w:r w:rsidDel="00000000" w:rsidR="00000000" w:rsidRPr="00000000">
        <w:rPr>
          <w:rFonts w:ascii="Times New Roman" w:cs="Times New Roman" w:eastAsia="Times New Roman" w:hAnsi="Times New Roman"/>
          <w:b w:val="1"/>
          <w:bCs w:val="1"/>
          <w:sz w:val="45"/>
          <w:szCs w:val="45"/>
          <w:rtl w:val="0"/>
        </w:rPr>
        <w:t xml:space="preserve">__________________________________</w:t>
      </w:r>
    </w:p>
    <w:p w:rsidR="00000000" w:rsidDel="00000000" w:rsidP="00000000" w:rsidRDefault="00000000" w:rsidRPr="00000000" w14:paraId="0000002B">
      <w:pPr>
        <w:keepNext w:val="1"/>
        <w:spacing w:after="80" w:before="240" w:line="276" w:lineRule="auto"/>
        <w:jc w:val="both"/>
        <w:rPr>
          <w:rFonts w:ascii="Calibri" w:cs="Calibri" w:eastAsia="Calibri" w:hAnsi="Calibri"/>
          <w:color w:val="0244ae"/>
          <w:sz w:val="26"/>
          <w:szCs w:val="26"/>
        </w:rPr>
      </w:pPr>
      <w:r w:rsidDel="00000000" w:rsidR="00000000" w:rsidRPr="00000000">
        <w:rPr>
          <w:rFonts w:ascii="Calibri" w:cs="Calibri" w:eastAsia="Calibri" w:hAnsi="Calibri"/>
          <w:b w:val="1"/>
          <w:bCs w:val="1"/>
          <w:color w:val="0244ae"/>
          <w:sz w:val="26"/>
          <w:szCs w:val="26"/>
          <w:rtl w:val="0"/>
        </w:rPr>
        <w:t xml:space="preserve">PREVAILING IN LITIGATION DOES NOT NECESSARILY MEAN RECOVERING THE MONEY</w:t>
      </w:r>
      <w:r w:rsidDel="00000000" w:rsidR="00000000" w:rsidRPr="00000000">
        <w:rPr>
          <w:rtl w:val="0"/>
        </w:rPr>
      </w:r>
    </w:p>
    <w:p w:rsidR="00000000" w:rsidDel="00000000" w:rsidP="00000000" w:rsidRDefault="00000000" w:rsidRPr="00000000" w14:paraId="0000002C">
      <w:pPr>
        <w:spacing w:after="80" w:line="276" w:lineRule="auto"/>
        <w:jc w:val="both"/>
        <w:rPr>
          <w:rFonts w:ascii="Calibri" w:cs="Calibri" w:eastAsia="Calibri" w:hAnsi="Calibri"/>
          <w:color w:val="0244ae"/>
          <w:sz w:val="26"/>
          <w:szCs w:val="26"/>
        </w:rPr>
      </w:pPr>
      <w:r w:rsidDel="00000000" w:rsidR="00000000" w:rsidRPr="00000000">
        <w:rPr>
          <w:rFonts w:ascii="Calibri" w:cs="Calibri" w:eastAsia="Calibri" w:hAnsi="Calibri"/>
          <w:color w:val="0244ae"/>
          <w:sz w:val="26"/>
          <w:szCs w:val="26"/>
          <w:rtl w:val="0"/>
        </w:rPr>
        <w:t xml:space="preserve">From Legal Entitlement to Actual Recovery: Key Legal Decisions at Each Stage</w:t>
      </w:r>
    </w:p>
    <w:p w:rsidR="00000000" w:rsidDel="00000000" w:rsidP="00000000" w:rsidRDefault="00000000" w:rsidRPr="00000000" w14:paraId="0000002D">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company has delivered goods but has not received payment in full. An individual has extended a loan, yet the amount due remains unpaid. A service provider has completed its services, but reconciliation and payment continue to be delayed. Although these situations arise from different legal relationships, they raise the same question: How can a legal entitlement to payment be converted into funds actually recovered?</w:t>
      </w:r>
    </w:p>
    <w:p w:rsidR="00000000" w:rsidDel="00000000" w:rsidP="00000000" w:rsidRDefault="00000000" w:rsidRPr="00000000" w14:paraId="0000002E">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Commencing legal proceedings by a lawsuit is a necessary step, but a favorable Judgment does not guarantee recovery. The outcome depends on a series of decisions: correctly identifying the obligation, preparing evidence, selecting a dispute resolution mechanism, preserving the prospects of enforcement, and pursuing enforcement proceedings. A legal strategy should therefore take shape as soon as a dispute is identified, rather than only after a judgment has been rendered. This Article introduces Integritas Vu Legal's Legal Insights series and outlines the issues to be examined in greater depth in subsequent installments.</w:t>
      </w:r>
    </w:p>
    <w:p w:rsidR="00000000" w:rsidDel="00000000" w:rsidP="00000000" w:rsidRDefault="00000000" w:rsidRPr="00000000" w14:paraId="0000002F">
      <w:pPr>
        <w:keepNext w:val="1"/>
        <w:spacing w:after="80" w:before="240" w:line="276" w:lineRule="auto"/>
        <w:jc w:val="both"/>
        <w:rPr>
          <w:rFonts w:ascii="Calibri" w:cs="Calibri" w:eastAsia="Calibri" w:hAnsi="Calibri"/>
          <w:color w:val="0244ae"/>
          <w:sz w:val="26"/>
          <w:szCs w:val="26"/>
        </w:rPr>
      </w:pPr>
      <w:r w:rsidDel="00000000" w:rsidR="00000000" w:rsidRPr="00000000">
        <w:rPr>
          <w:rFonts w:ascii="Calibri" w:cs="Calibri" w:eastAsia="Calibri" w:hAnsi="Calibri"/>
          <w:b w:val="1"/>
          <w:bCs w:val="1"/>
          <w:color w:val="0244ae"/>
          <w:sz w:val="26"/>
          <w:szCs w:val="26"/>
          <w:rtl w:val="0"/>
        </w:rPr>
        <w:t xml:space="preserve">01 | IDENTIFYING THE CORRECT LEGAL CLAIM: WHAT IS THE LEGAL NATURE OF THE DISPUTE?</w:t>
      </w:r>
      <w:r w:rsidDel="00000000" w:rsidR="00000000" w:rsidRPr="00000000">
        <w:rPr>
          <w:rtl w:val="0"/>
        </w:rPr>
      </w:r>
    </w:p>
    <w:p w:rsidR="00000000" w:rsidDel="00000000" w:rsidP="00000000" w:rsidRDefault="00000000" w:rsidRPr="00000000" w14:paraId="00000030">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starting point is not the amount a Plaintiff intends to request the Court to order the Defendant to pay, but the legal nature of the transaction. Amounts arising from loan agreements, sales of goods, service provision, restitution of property, or compensation for damage may be subject to different rules on limitation periods, interest, contractual penalties, and the burden of proof. Before defining the scope of the claim, it is necessary to examine the validity of the transaction, the party bearing the obligation, the date on which the obligation falls due, and the competent dispute resolution forum.</w:t>
      </w:r>
    </w:p>
    <w:p w:rsidR="00000000" w:rsidDel="00000000" w:rsidP="00000000" w:rsidRDefault="00000000" w:rsidRPr="00000000" w14:paraId="00000031">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legal relationship, the obligor, the validity of the agreement, the due date, and the scope of the entitlement must be identified. A legal entity's obligations do not automatically become the personal obligations of its legal representative or capital-contributing members; any liability of a guarantor must be assessed on its own legal basis.</w:t>
      </w:r>
    </w:p>
    <w:p w:rsidR="00000000" w:rsidDel="00000000" w:rsidP="00000000" w:rsidRDefault="00000000" w:rsidRPr="00000000" w14:paraId="00000032">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Although each case may involve a monetary obligation, the legal basis for calculating interest does not always apply in the same way to all cases. For a loan agreement, the parties' agreement and the relevant provisions of the 2015 Civil Code, including Articles 466 and 468, must be considered. For late payments falling within Article 306 of the 2005 Commercial Law, default interest is determined under a distinct legal framework, unless otherwise agreed or provided by law. Where liability arises from delayed performance of a monetary obligation, Article 357 of the 2015 Civil Code must also be observed. Contractual loan interest should not be conflated with interest on late payment; nor should principal, interest, contractual penalties, and damages be combined indiscriminately where each is subject to separate legal grounds and conditions.</w:t>
      </w:r>
    </w:p>
    <w:p w:rsidR="00000000" w:rsidDel="00000000" w:rsidP="00000000" w:rsidRDefault="00000000" w:rsidRPr="00000000" w14:paraId="00000033">
      <w:pPr>
        <w:spacing w:after="80" w:line="276" w:lineRule="auto"/>
        <w:jc w:val="both"/>
        <w:rPr>
          <w:rFonts w:ascii="Calibri" w:cs="Calibri" w:eastAsia="Calibri" w:hAnsi="Calibri"/>
          <w:i w:val="1"/>
          <w:iCs w:val="1"/>
          <w:color w:val="0244ae"/>
          <w:sz w:val="26"/>
          <w:szCs w:val="26"/>
        </w:rPr>
      </w:pPr>
      <w:r w:rsidDel="00000000" w:rsidR="00000000" w:rsidRPr="00000000">
        <w:rPr>
          <w:rFonts w:ascii="Calibri" w:cs="Calibri" w:eastAsia="Calibri" w:hAnsi="Calibri"/>
          <w:i w:val="1"/>
          <w:iCs w:val="1"/>
          <w:color w:val="0244ae"/>
          <w:sz w:val="26"/>
          <w:szCs w:val="26"/>
          <w:rtl w:val="0"/>
        </w:rPr>
        <w:t xml:space="preserve">To be explored next Topic: How should the legal relationship, the date on which the obligation arises, and the calculation of principal, interest, contractual penalties, and damages be determined to avoid errors in the initial claim?</w:t>
      </w:r>
    </w:p>
    <w:p w:rsidR="00000000" w:rsidDel="00000000" w:rsidP="00000000" w:rsidRDefault="00000000" w:rsidRPr="00000000" w14:paraId="00000034">
      <w:pPr>
        <w:keepNext w:val="1"/>
        <w:spacing w:after="80" w:before="240" w:line="276" w:lineRule="auto"/>
        <w:jc w:val="both"/>
        <w:rPr>
          <w:rFonts w:ascii="Calibri" w:cs="Calibri" w:eastAsia="Calibri" w:hAnsi="Calibri"/>
          <w:color w:val="0244ae"/>
          <w:sz w:val="26"/>
          <w:szCs w:val="26"/>
        </w:rPr>
      </w:pPr>
      <w:r w:rsidDel="00000000" w:rsidR="00000000" w:rsidRPr="00000000">
        <w:rPr>
          <w:rFonts w:ascii="Calibri" w:cs="Calibri" w:eastAsia="Calibri" w:hAnsi="Calibri"/>
          <w:b w:val="1"/>
          <w:bCs w:val="1"/>
          <w:color w:val="0244ae"/>
          <w:sz w:val="26"/>
          <w:szCs w:val="26"/>
          <w:rtl w:val="0"/>
        </w:rPr>
        <w:t xml:space="preserve">02 | EVIDENCE AND RECOVERABILITY: IS HAVING A VALID CLAIM ENOUGH?</w:t>
      </w:r>
      <w:r w:rsidDel="00000000" w:rsidR="00000000" w:rsidRPr="00000000">
        <w:rPr>
          <w:rtl w:val="0"/>
        </w:rPr>
      </w:r>
    </w:p>
    <w:p w:rsidR="00000000" w:rsidDel="00000000" w:rsidP="00000000" w:rsidRDefault="00000000" w:rsidRPr="00000000" w14:paraId="00000035">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case file that is submitted to the Court should establish the course of the transaction: the agreement, the transfer of funds or performance of obligations, the due date, payments already made, and the outstanding balance. The contract is a starting point, not the entirety of the evidence. Bank transfer records, delivery and acceptance records, completion certificates, debt reconciliation statements, and electronic data may be decisive. Article 91 of the 2015 Civil Procedure Code governs the burden of proof; the assessment must be tied to each claim and each fact requiring proof. Contracts, bank records, delivery records, emails, messages, and electronic data must be assessed for their origin, authenticity, accessibility, and probative value under procedural law; possession of a screenshot does not automatically mean it will be admitted as evidence.</w:t>
      </w:r>
    </w:p>
    <w:p w:rsidR="00000000" w:rsidDel="00000000" w:rsidP="00000000" w:rsidRDefault="00000000" w:rsidRPr="00000000" w14:paraId="00000036">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Alongside evidence establishing the claim, the counterparty's ability to perform its obligations should be assessed using information lawfully accessible, including its asset position, third-party rights, secured obligations, and indications of insolvency. Such an assessment does not guarantee recovery, but it helps identify risks before a course of action is selected.</w:t>
      </w:r>
    </w:p>
    <w:p w:rsidR="00000000" w:rsidDel="00000000" w:rsidP="00000000" w:rsidRDefault="00000000" w:rsidRPr="00000000" w14:paraId="00000037">
      <w:pPr>
        <w:spacing w:after="80" w:line="276" w:lineRule="auto"/>
        <w:jc w:val="both"/>
        <w:rPr>
          <w:rFonts w:ascii="Calibri" w:cs="Calibri" w:eastAsia="Calibri" w:hAnsi="Calibri"/>
          <w:i w:val="1"/>
          <w:iCs w:val="1"/>
          <w:color w:val="0244ae"/>
          <w:sz w:val="26"/>
          <w:szCs w:val="26"/>
        </w:rPr>
      </w:pPr>
      <w:r w:rsidDel="00000000" w:rsidR="00000000" w:rsidRPr="00000000">
        <w:rPr>
          <w:rFonts w:ascii="Calibri" w:cs="Calibri" w:eastAsia="Calibri" w:hAnsi="Calibri"/>
          <w:i w:val="1"/>
          <w:iCs w:val="1"/>
          <w:color w:val="0244ae"/>
          <w:sz w:val="26"/>
          <w:szCs w:val="26"/>
          <w:rtl w:val="0"/>
        </w:rPr>
        <w:t xml:space="preserve">To be explored next Topic: Who bears the burden of proof, how may electronic evidence be used, and what should be verified before filing a claim?</w:t>
      </w:r>
    </w:p>
    <w:p w:rsidR="00000000" w:rsidDel="00000000" w:rsidP="00000000" w:rsidRDefault="00000000" w:rsidRPr="00000000" w14:paraId="00000038">
      <w:pPr>
        <w:keepNext w:val="1"/>
        <w:spacing w:after="80" w:before="240" w:line="276" w:lineRule="auto"/>
        <w:jc w:val="both"/>
        <w:rPr>
          <w:rFonts w:ascii="Calibri" w:cs="Calibri" w:eastAsia="Calibri" w:hAnsi="Calibri"/>
          <w:color w:val="0244ae"/>
          <w:sz w:val="26"/>
          <w:szCs w:val="26"/>
        </w:rPr>
      </w:pPr>
      <w:r w:rsidDel="00000000" w:rsidR="00000000" w:rsidRPr="00000000">
        <w:rPr>
          <w:rFonts w:ascii="Calibri" w:cs="Calibri" w:eastAsia="Calibri" w:hAnsi="Calibri"/>
          <w:b w:val="1"/>
          <w:bCs w:val="1"/>
          <w:color w:val="0244ae"/>
          <w:sz w:val="26"/>
          <w:szCs w:val="26"/>
          <w:rtl w:val="0"/>
        </w:rPr>
        <w:t xml:space="preserve">03 | CHOOSING THE RIGHT STRATEGY: NEGOTIATION OR FILLING A LAWSUIT?</w:t>
      </w:r>
      <w:r w:rsidDel="00000000" w:rsidR="00000000" w:rsidRPr="00000000">
        <w:rPr>
          <w:rtl w:val="0"/>
        </w:rPr>
      </w:r>
    </w:p>
    <w:p w:rsidR="00000000" w:rsidDel="00000000" w:rsidP="00000000" w:rsidRDefault="00000000" w:rsidRPr="00000000" w14:paraId="00000039">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Not every dispute should immediately be brought before a Court or Arbitral Tribunal. Depending on the nature of the transaction, the dispute resolution agreement, and applicable legal requirements, the parties may consider negotiation, mediation, arbitration, or court litigation. Arbitration has jurisdiction only where the statutory requirements are satisfied, including the existence of a valid arbitration agreement. Each option should be assessed against limitation periods, costs, time, evidence, enforceability, and the Client's objectives.</w:t>
      </w:r>
    </w:p>
    <w:p w:rsidR="00000000" w:rsidDel="00000000" w:rsidP="00000000" w:rsidRDefault="00000000" w:rsidRPr="00000000" w14:paraId="0000003A">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the parties opt for a payment settlement, the amount, payment deadlines, consequences of breach, security arrangements, and form of documentation should be clearly specified. If legal proceedings are chosen, the claim must be consistent with the evidence and legal grounds. Protracted negotiations should not cause the entitled party to miss a limitation period or an opportunity to preserve assets.</w:t>
      </w:r>
    </w:p>
    <w:p w:rsidR="00000000" w:rsidDel="00000000" w:rsidP="00000000" w:rsidRDefault="00000000" w:rsidRPr="00000000" w14:paraId="0000003B">
      <w:pPr>
        <w:spacing w:after="80" w:line="276" w:lineRule="auto"/>
        <w:jc w:val="both"/>
        <w:rPr>
          <w:rFonts w:ascii="Calibri" w:cs="Calibri" w:eastAsia="Calibri" w:hAnsi="Calibri"/>
          <w:i w:val="1"/>
          <w:iCs w:val="1"/>
          <w:color w:val="0244ae"/>
          <w:sz w:val="26"/>
          <w:szCs w:val="26"/>
        </w:rPr>
      </w:pPr>
      <w:r w:rsidDel="00000000" w:rsidR="00000000" w:rsidRPr="00000000">
        <w:rPr>
          <w:rFonts w:ascii="Calibri" w:cs="Calibri" w:eastAsia="Calibri" w:hAnsi="Calibri"/>
          <w:i w:val="1"/>
          <w:iCs w:val="1"/>
          <w:color w:val="0244ae"/>
          <w:sz w:val="26"/>
          <w:szCs w:val="26"/>
          <w:rtl w:val="0"/>
        </w:rPr>
        <w:t xml:space="preserve">To be explored next Topic: When is negotiation more advantageous than litigation, and what warning signs indicate that a change of strategy is necessary?</w:t>
      </w:r>
    </w:p>
    <w:p w:rsidR="00000000" w:rsidDel="00000000" w:rsidP="00000000" w:rsidRDefault="00000000" w:rsidRPr="00000000" w14:paraId="0000003C">
      <w:pPr>
        <w:keepNext w:val="1"/>
        <w:spacing w:after="80" w:before="240" w:line="276" w:lineRule="auto"/>
        <w:jc w:val="both"/>
        <w:rPr>
          <w:rFonts w:ascii="Calibri" w:cs="Calibri" w:eastAsia="Calibri" w:hAnsi="Calibri"/>
          <w:color w:val="0244ae"/>
          <w:sz w:val="26"/>
          <w:szCs w:val="26"/>
        </w:rPr>
      </w:pPr>
      <w:r w:rsidDel="00000000" w:rsidR="00000000" w:rsidRPr="00000000">
        <w:rPr>
          <w:rFonts w:ascii="Calibri" w:cs="Calibri" w:eastAsia="Calibri" w:hAnsi="Calibri"/>
          <w:b w:val="1"/>
          <w:bCs w:val="1"/>
          <w:color w:val="0244ae"/>
          <w:sz w:val="26"/>
          <w:szCs w:val="26"/>
          <w:rtl w:val="0"/>
        </w:rPr>
        <w:t xml:space="preserve">04 | PRESERVING ASSETS: WILL THERE STILL BE ASSETS AVAILABLE FOR ENFORCEMENT AFTER A FAVORABLE JUDGMENT?</w:t>
      </w:r>
      <w:r w:rsidDel="00000000" w:rsidR="00000000" w:rsidRPr="00000000">
        <w:rPr>
          <w:rtl w:val="0"/>
        </w:rPr>
      </w:r>
    </w:p>
    <w:p w:rsidR="00000000" w:rsidDel="00000000" w:rsidP="00000000" w:rsidRDefault="00000000" w:rsidRPr="00000000" w14:paraId="0000003D">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legally well-founded claim is not sufficient to secure recovery. An assessment based on lawfully obtained information should address the obligor's asset position, third-party security interests, and the risk of insolvency. These factors cannot establish with certainty the outcome of enforcement, but they help identify the limits of the available options and the appropriate time to act.</w:t>
      </w:r>
    </w:p>
    <w:p w:rsidR="00000000" w:rsidDel="00000000" w:rsidP="00000000" w:rsidRDefault="00000000" w:rsidRPr="00000000" w14:paraId="0000003E">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During legal proceedings, the risk of changes to the status of assets may affect the prospects of enforcement. Articles 111 and 114 of the 2015 Civil Procedure Code govern applications for provisional emergency measures and the available measures, including freezing bank accounts, attachment of property in dispute, prohibiting changes to the existing condition of property in dispute, freezing assets of an obligor, and prohibiting or compelling specified acts. Filing a lawsuit does not automatically entitle a party to an asset-freezing order: the Plaintiff/Peitioner must establish the legal grounds, comply with the applicable scope and procedural requirements, and provide security where required by law. An improper application may give rise to liability for damages.</w:t>
      </w:r>
    </w:p>
    <w:p w:rsidR="00000000" w:rsidDel="00000000" w:rsidP="00000000" w:rsidRDefault="00000000" w:rsidRPr="00000000" w14:paraId="0000003F">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application of these measures is also subject to significant limitations. Resolution No. 02/2020/NQ-HĐTP provides guidance on circumstances in which certain provisional emergency measures may not be imposed, including situations affecting the rights of secured parties and business operations. An asset-preservation strategy must therefore be grounded in the nature of the assets, the evidence, and necessity, rather than treating asset freezing as a routine procedural step.</w:t>
      </w:r>
    </w:p>
    <w:p w:rsidR="00000000" w:rsidDel="00000000" w:rsidP="00000000" w:rsidRDefault="00000000" w:rsidRPr="00000000" w14:paraId="00000040">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the parties reach a settlement during dispute resolution, the key issues extend beyond the amount promised: the payment schedule, events of default, security arrangements, and the legal form in which the settlement is recorded also matter. A commercially workable payment arrangement that lacks clear legal mechanisms may give rise to a further dispute.</w:t>
      </w:r>
    </w:p>
    <w:p w:rsidR="00000000" w:rsidDel="00000000" w:rsidP="00000000" w:rsidRDefault="00000000" w:rsidRPr="00000000" w14:paraId="00000041">
      <w:pPr>
        <w:spacing w:after="80" w:line="276" w:lineRule="auto"/>
        <w:jc w:val="both"/>
        <w:rPr>
          <w:rFonts w:ascii="Calibri" w:cs="Calibri" w:eastAsia="Calibri" w:hAnsi="Calibri"/>
          <w:i w:val="1"/>
          <w:iCs w:val="1"/>
          <w:color w:val="0244ae"/>
          <w:sz w:val="26"/>
          <w:szCs w:val="26"/>
        </w:rPr>
      </w:pPr>
      <w:r w:rsidDel="00000000" w:rsidR="00000000" w:rsidRPr="00000000">
        <w:rPr>
          <w:rFonts w:ascii="Calibri" w:cs="Calibri" w:eastAsia="Calibri" w:hAnsi="Calibri"/>
          <w:i w:val="1"/>
          <w:iCs w:val="1"/>
          <w:color w:val="0244ae"/>
          <w:sz w:val="26"/>
          <w:szCs w:val="26"/>
          <w:rtl w:val="0"/>
        </w:rPr>
        <w:t xml:space="preserve">To be explored next: When may an asset-freezing order be sought, what must be established, and what are the legal risks?</w:t>
      </w:r>
    </w:p>
    <w:p w:rsidR="00000000" w:rsidDel="00000000" w:rsidP="00000000" w:rsidRDefault="00000000" w:rsidRPr="00000000" w14:paraId="00000042">
      <w:pPr>
        <w:keepNext w:val="1"/>
        <w:spacing w:after="80" w:before="240" w:line="276" w:lineRule="auto"/>
        <w:jc w:val="both"/>
        <w:rPr>
          <w:rFonts w:ascii="Calibri" w:cs="Calibri" w:eastAsia="Calibri" w:hAnsi="Calibri"/>
          <w:color w:val="0244ae"/>
          <w:sz w:val="26"/>
          <w:szCs w:val="26"/>
        </w:rPr>
      </w:pPr>
      <w:r w:rsidDel="00000000" w:rsidR="00000000" w:rsidRPr="00000000">
        <w:rPr>
          <w:rFonts w:ascii="Calibri" w:cs="Calibri" w:eastAsia="Calibri" w:hAnsi="Calibri"/>
          <w:b w:val="1"/>
          <w:bCs w:val="1"/>
          <w:color w:val="0244ae"/>
          <w:sz w:val="26"/>
          <w:szCs w:val="26"/>
          <w:rtl w:val="0"/>
        </w:rPr>
        <w:t xml:space="preserve">05 | ENFORCEMENT: FROM A FINAL AND BINDING JUDGMENT TO FUNDS ACTUALLY RECOVERED</w:t>
      </w:r>
      <w:r w:rsidDel="00000000" w:rsidR="00000000" w:rsidRPr="00000000">
        <w:rPr>
          <w:rtl w:val="0"/>
        </w:rPr>
      </w:r>
    </w:p>
    <w:p w:rsidR="00000000" w:rsidDel="00000000" w:rsidP="00000000" w:rsidRDefault="00000000" w:rsidRPr="00000000" w14:paraId="00000043">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Where enforcement of a judgment or decision is subject to an application by the judgment creditor, attention must be paid to the time limit for applying, the enforceable obligations, and the subsequent steps. Law No. 106/2025/QH15 on Civil Judgment Enforcement, effective from 1 July 2026, governs the application procedure, the period for voluntary compliance, and verification of the conditions for enforcement. For cases accepted or under enforcement before that date, the relevant transitional provisions must be examined. An enforceable judgment does not mean that payment will be transferred automatically.</w:t>
      </w:r>
    </w:p>
    <w:p w:rsidR="00000000" w:rsidDel="00000000" w:rsidP="00000000" w:rsidRDefault="00000000" w:rsidRPr="00000000" w14:paraId="00000044">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Information on the judgment debtor's assets, income, bank accounts, receivables, and property rights is important to verifying the conditions for enforcement. Article 37 of the 2025 Law on Civil Judgment Enforcement addresses verification by civil judgment enforcement officers. However, not every failure to pay amounts to deliberate evasion: a distinction must be drawn between a person genuinely lacking the means to comply and one who has the means but fails to do so.</w:t>
      </w:r>
    </w:p>
    <w:p w:rsidR="00000000" w:rsidDel="00000000" w:rsidP="00000000" w:rsidRDefault="00000000" w:rsidRPr="00000000" w14:paraId="00000045">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Where there are indications of concealment, transfer, or dissipation of assets, the judgment creditor should promptly provide substantiated information to the competent authority for consideration under the applicable legal procedures. Any response must be based on the specific conduct and supporting evidence; not every transfer of property by an obligor should automatically be treated as unlawful.</w:t>
      </w:r>
    </w:p>
    <w:p w:rsidR="00000000" w:rsidDel="00000000" w:rsidP="00000000" w:rsidRDefault="00000000" w:rsidRPr="00000000" w14:paraId="00000046">
      <w:pPr>
        <w:spacing w:after="80" w:line="276" w:lineRule="auto"/>
        <w:jc w:val="both"/>
        <w:rPr>
          <w:rFonts w:ascii="Calibri" w:cs="Calibri" w:eastAsia="Calibri" w:hAnsi="Calibri"/>
          <w:i w:val="1"/>
          <w:iCs w:val="1"/>
          <w:color w:val="0244ae"/>
          <w:sz w:val="26"/>
          <w:szCs w:val="26"/>
        </w:rPr>
      </w:pPr>
      <w:r w:rsidDel="00000000" w:rsidR="00000000" w:rsidRPr="00000000">
        <w:rPr>
          <w:rFonts w:ascii="Calibri" w:cs="Calibri" w:eastAsia="Calibri" w:hAnsi="Calibri"/>
          <w:i w:val="1"/>
          <w:iCs w:val="1"/>
          <w:color w:val="0244ae"/>
          <w:sz w:val="26"/>
          <w:szCs w:val="26"/>
          <w:rtl w:val="0"/>
        </w:rPr>
        <w:t xml:space="preserve">To be explored next: What are the procedures for applying for enforcement, verifying assets, adopting coercive enforcement measures, and developing an enforcement strategy?</w:t>
      </w:r>
    </w:p>
    <w:p w:rsidR="00000000" w:rsidDel="00000000" w:rsidP="00000000" w:rsidRDefault="00000000" w:rsidRPr="00000000" w14:paraId="00000047">
      <w:pPr>
        <w:keepNext w:val="1"/>
        <w:spacing w:after="80" w:before="240" w:line="276" w:lineRule="auto"/>
        <w:jc w:val="both"/>
        <w:rPr>
          <w:rFonts w:ascii="Calibri" w:cs="Calibri" w:eastAsia="Calibri" w:hAnsi="Calibri"/>
          <w:color w:val="0244ae"/>
          <w:sz w:val="26"/>
          <w:szCs w:val="26"/>
        </w:rPr>
      </w:pPr>
      <w:r w:rsidDel="00000000" w:rsidR="00000000" w:rsidRPr="00000000">
        <w:rPr>
          <w:rFonts w:ascii="Calibri" w:cs="Calibri" w:eastAsia="Calibri" w:hAnsi="Calibri"/>
          <w:b w:val="1"/>
          <w:bCs w:val="1"/>
          <w:color w:val="0244ae"/>
          <w:sz w:val="26"/>
          <w:szCs w:val="26"/>
          <w:rtl w:val="0"/>
        </w:rPr>
        <w:t xml:space="preserve">06 | FAILURE TO COMPLY WITH A JUDGMENT: THE BOUNDARY BETWEEN CIVIL AND CRIMINAL LIABILITY</w:t>
      </w:r>
      <w:r w:rsidDel="00000000" w:rsidR="00000000" w:rsidRPr="00000000">
        <w:rPr>
          <w:rtl w:val="0"/>
        </w:rPr>
      </w:r>
    </w:p>
    <w:p w:rsidR="00000000" w:rsidDel="00000000" w:rsidP="00000000" w:rsidRDefault="00000000" w:rsidRPr="00000000" w14:paraId="00000048">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Failure to satisfy a monetary obligation under a judgment does not automatically constitute a criminal offense. Article 380 of the Penal Code prescribes specific legal elements for failure to comply with an effective court judgment or decision, including the ability to comply and other statutory conditions. Criminal liability must therefore be assessed against the evidence and all elements of the offense; delay in payment alone is insufficient.</w:t>
      </w:r>
    </w:p>
    <w:p w:rsidR="00000000" w:rsidDel="00000000" w:rsidP="00000000" w:rsidRDefault="00000000" w:rsidRPr="00000000" w14:paraId="00000049">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distinction must accordingly be drawn between a person genuinely unable to perform the obligation due to a lack of means for enforcement and a person who has the means but fails to comply in circumstances satisfying all legal elements of an offense. An ordinary dispute over a payment obligation must also be distinguished from a case involving indications of deceit or misappropriation of property during the formation or performance of the transaction. Any consideration of other criminal offenses must be based on their own constituent elements and cannot be inferred solely from non-payment.</w:t>
      </w:r>
    </w:p>
    <w:p w:rsidR="00000000" w:rsidDel="00000000" w:rsidP="00000000" w:rsidRDefault="00000000" w:rsidRPr="00000000" w14:paraId="0000004A">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case reported in the press may illustrate a practical issue, but such reporting is no substitute for examining the official judgment, decision, and case record. Accordingly, this introductory Article does not rely on a case that has not been fully verified to draw generalized conclusions about criminal liability in disputes concerning payment obligations.</w:t>
      </w:r>
    </w:p>
    <w:p w:rsidR="00000000" w:rsidDel="00000000" w:rsidP="00000000" w:rsidRDefault="00000000" w:rsidRPr="00000000" w14:paraId="0000004B">
      <w:pPr>
        <w:spacing w:after="80" w:line="276" w:lineRule="auto"/>
        <w:jc w:val="both"/>
        <w:rPr>
          <w:rFonts w:ascii="Calibri" w:cs="Calibri" w:eastAsia="Calibri" w:hAnsi="Calibri"/>
          <w:i w:val="1"/>
          <w:iCs w:val="1"/>
          <w:color w:val="0244ae"/>
          <w:sz w:val="26"/>
          <w:szCs w:val="26"/>
        </w:rPr>
      </w:pPr>
      <w:r w:rsidDel="00000000" w:rsidR="00000000" w:rsidRPr="00000000">
        <w:rPr>
          <w:rFonts w:ascii="Calibri" w:cs="Calibri" w:eastAsia="Calibri" w:hAnsi="Calibri"/>
          <w:i w:val="1"/>
          <w:iCs w:val="1"/>
          <w:color w:val="0244ae"/>
          <w:sz w:val="26"/>
          <w:szCs w:val="26"/>
          <w:rtl w:val="0"/>
        </w:rPr>
        <w:t xml:space="preserve">To be explored next: When may failure to comply with a judgment attract criminal scrutiny, and how should the boundary with civil liability be drawn?</w:t>
      </w:r>
    </w:p>
    <w:p w:rsidR="00000000" w:rsidDel="00000000" w:rsidP="00000000" w:rsidRDefault="00000000" w:rsidRPr="00000000" w14:paraId="0000004C">
      <w:pPr>
        <w:keepNext w:val="1"/>
        <w:spacing w:after="80" w:before="240" w:line="276" w:lineRule="auto"/>
        <w:jc w:val="both"/>
        <w:rPr>
          <w:rFonts w:ascii="Calibri" w:cs="Calibri" w:eastAsia="Calibri" w:hAnsi="Calibri"/>
          <w:color w:val="0244ae"/>
          <w:sz w:val="26"/>
          <w:szCs w:val="26"/>
        </w:rPr>
      </w:pPr>
      <w:r w:rsidDel="00000000" w:rsidR="00000000" w:rsidRPr="00000000">
        <w:rPr>
          <w:rFonts w:ascii="Calibri" w:cs="Calibri" w:eastAsia="Calibri" w:hAnsi="Calibri"/>
          <w:b w:val="1"/>
          <w:bCs w:val="1"/>
          <w:color w:val="0244ae"/>
          <w:sz w:val="26"/>
          <w:szCs w:val="26"/>
          <w:rtl w:val="0"/>
        </w:rPr>
        <w:t xml:space="preserve">ONE COHERENT STRATEGY – THE INTEGRITAS VU LEGAL APPROACH</w:t>
      </w:r>
      <w:r w:rsidDel="00000000" w:rsidR="00000000" w:rsidRPr="00000000">
        <w:rPr>
          <w:rtl w:val="0"/>
        </w:rPr>
      </w:r>
    </w:p>
    <w:p w:rsidR="00000000" w:rsidDel="00000000" w:rsidP="00000000" w:rsidRDefault="00000000" w:rsidRPr="00000000" w14:paraId="0000004D">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At Integritas Vu Legal, we do not assume that litigation should be the first step, nor do we regard a judgment as the end of the matter. We approach each case through four stages: Understanding the transaction and the Client's substantive objectives - Assessing the legal position, evidence, risks, and enforceability - Developing a strategy tailored to the case within the bounds of the law - Implementing and adapting that strategy as the matter evolves. As a boutique law firm, Integritas Vu Legal emphasizes close involvement, independent judgment, and individually planned solutions, recognizing that an aggressive approach is not necessarily an effective one.</w:t>
      </w:r>
    </w:p>
    <w:p w:rsidR="00000000" w:rsidDel="00000000" w:rsidP="00000000" w:rsidRDefault="00000000" w:rsidRPr="00000000" w14:paraId="0000004E">
      <w:pPr>
        <w:keepNext w:val="1"/>
        <w:spacing w:after="80" w:before="240" w:line="276" w:lineRule="auto"/>
        <w:jc w:val="both"/>
        <w:rPr>
          <w:rFonts w:ascii="Calibri" w:cs="Calibri" w:eastAsia="Calibri" w:hAnsi="Calibri"/>
          <w:color w:val="0244ae"/>
          <w:sz w:val="26"/>
          <w:szCs w:val="26"/>
        </w:rPr>
      </w:pPr>
      <w:r w:rsidDel="00000000" w:rsidR="00000000" w:rsidRPr="00000000">
        <w:rPr>
          <w:rFonts w:ascii="Calibri" w:cs="Calibri" w:eastAsia="Calibri" w:hAnsi="Calibri"/>
          <w:b w:val="1"/>
          <w:bCs w:val="1"/>
          <w:color w:val="0244ae"/>
          <w:sz w:val="26"/>
          <w:szCs w:val="26"/>
          <w:rtl w:val="0"/>
        </w:rPr>
        <w:t xml:space="preserve">COMING NEXT IN LEGAL INSIGHTS | FROM IDENTIFYING RIGHTS TO ENFORCING THEM</w:t>
      </w:r>
      <w:r w:rsidDel="00000000" w:rsidR="00000000" w:rsidRPr="00000000">
        <w:rPr>
          <w:rtl w:val="0"/>
        </w:rPr>
      </w:r>
    </w:p>
    <w:p w:rsidR="00000000" w:rsidDel="00000000" w:rsidP="00000000" w:rsidRDefault="00000000" w:rsidRPr="00000000" w14:paraId="0000004F">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is the opening Article in a series of in-depth analyses concerning receivables arising from civil and commercial relationships. Subsequent Articles will examine: (1) Choosing a legal strategy; (2) Identifying the legal relationship and calculating principal, interest, contractual penalties, and damages; (3) The burden of proof and electronic evidence; (4) Asset preservation during proceedings; (5) Enforcement procedures and strategy; and (6) the boundary between civil and criminal liability. Each installment will address a specific set of practical questions by reference to applicable law and verifiable source materials.</w:t>
      </w:r>
    </w:p>
    <w:p w:rsidR="00000000" w:rsidDel="00000000" w:rsidP="00000000" w:rsidRDefault="00000000" w:rsidRPr="00000000" w14:paraId="00000050">
      <w:pPr>
        <w:spacing w:after="8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Follow Integritas Vu Legal's Legal Insights for further examination of the legal decisions that can shape the outcome of a dispute. An appropriate strategy must not only comply with the law; it must also reflect the particular transaction, the degree of risk, and the Client's practical objectives.</w:t>
      </w:r>
    </w:p>
    <w:p w:rsidR="00000000" w:rsidDel="00000000" w:rsidP="00000000" w:rsidRDefault="00000000" w:rsidRPr="00000000" w14:paraId="00000051">
      <w:pPr>
        <w:keepNext w:val="1"/>
        <w:spacing w:after="80" w:before="240" w:line="276" w:lineRule="auto"/>
        <w:jc w:val="both"/>
        <w:rPr>
          <w:rFonts w:ascii="Calibri" w:cs="Calibri" w:eastAsia="Calibri" w:hAnsi="Calibri"/>
          <w:b w:val="1"/>
          <w:bCs w:val="1"/>
          <w:i w:val="1"/>
          <w:iCs w:val="1"/>
          <w:sz w:val="26"/>
          <w:szCs w:val="26"/>
        </w:rPr>
      </w:pPr>
      <w:r w:rsidDel="00000000" w:rsidR="00000000" w:rsidRPr="00000000">
        <w:rPr>
          <w:rFonts w:ascii="Calibri" w:cs="Calibri" w:eastAsia="Calibri" w:hAnsi="Calibri"/>
          <w:b w:val="1"/>
          <w:bCs w:val="1"/>
          <w:i w:val="1"/>
          <w:iCs w:val="1"/>
          <w:color w:val="0244ae"/>
          <w:sz w:val="26"/>
          <w:szCs w:val="26"/>
          <w:rtl w:val="0"/>
        </w:rPr>
        <w:t xml:space="preserve">LEGAL NOTICE AND COPYRIGHT</w:t>
      </w:r>
      <w:r w:rsidDel="00000000" w:rsidR="00000000" w:rsidRPr="00000000">
        <w:rPr>
          <w:rtl w:val="0"/>
        </w:rPr>
      </w:r>
    </w:p>
    <w:p w:rsidR="00000000" w:rsidDel="00000000" w:rsidP="00000000" w:rsidRDefault="00000000" w:rsidRPr="00000000" w14:paraId="00000052">
      <w:pPr>
        <w:spacing w:after="80" w:line="276" w:lineRule="auto"/>
        <w:jc w:val="both"/>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 2026 Integritas Vu Legal. This Article has been prepared and published by Integritas Vu Legal LLC. Rights in the content to the extent protected by intellectual property law are reserved and exercised in accordance with applicable law. No part of the content may be reproduced, modified, republished, distributed, or commercially exploited without the authorization of the relevant rights holder, except as permitted by law. Where lawful quotation is made, please acknowledge the source and provide a link to the original Article.</w:t>
      </w:r>
    </w:p>
    <w:p w:rsidR="00000000" w:rsidDel="00000000" w:rsidP="00000000" w:rsidRDefault="00000000" w:rsidRPr="00000000" w14:paraId="00000053">
      <w:pPr>
        <w:spacing w:after="80" w:line="276" w:lineRule="auto"/>
        <w:jc w:val="both"/>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This Article provides general legal information as at the date of publication. It does not constitute legal advice on any particular matter, does not establish a lawyer–Client relationship, and is not a substitute for reviewing the relevant documents, evidence, agreements, and applicable law. Readers should not rely solely on this Article when taking, delaying, or refraining from any legal action. Outcomes depend on the facts and applicable law in each case, and the content may require updating as legislation or legal practice develops.</w:t>
      </w:r>
    </w:p>
    <w:p w:rsidR="00000000" w:rsidDel="00000000" w:rsidP="00000000" w:rsidRDefault="00000000" w:rsidRPr="00000000" w14:paraId="00000054">
      <w:pPr>
        <w:spacing w:after="120" w:lineRule="auto"/>
        <w:rPr>
          <w:rFonts w:ascii="Times New Roman" w:cs="Times New Roman" w:eastAsia="Times New Roman" w:hAnsi="Times New Roman"/>
          <w:b w:val="1"/>
          <w:bCs w:val="1"/>
          <w:sz w:val="45"/>
          <w:szCs w:val="45"/>
        </w:rPr>
      </w:pP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