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140" w:before="26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ĐÀM PHÁN HỢP ĐỒNG: THỎA THUẬN ĐÃ ĐẠT ĐƯỢC, NGHĨA VỤ PHÁP LÝ ĐÃ RÕ RÀNG?</w:t>
      </w:r>
    </w:p>
    <w:p w:rsidR="00000000" w:rsidDel="00000000" w:rsidP="00000000" w:rsidRDefault="00000000" w:rsidRPr="00000000" w14:paraId="00000002">
      <w:pPr>
        <w:pStyle w:val="Subtitle"/>
        <w:keepNext w:val="0"/>
        <w:keepLines w:val="0"/>
        <w:spacing w:after="140" w:line="281"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Từ hiệu lực giao dịch đến thẩm quyền đại diện và nội dung nghĩa vụ — ba vấn đề cần giải quyết trước khi đặt bút ký.</w:t>
      </w:r>
    </w:p>
    <w:p w:rsidR="00000000" w:rsidDel="00000000" w:rsidP="00000000" w:rsidRDefault="00000000" w:rsidRPr="00000000" w14:paraId="00000003">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Giá cả, tiến độ và phương thức thanh toán thường là trọng tâm của một cuộc đàm phán thương mại. Tuy nhiên, sự thống nhất về lợi ích kinh tế không tự nó trả lời được ba câu hỏi: thỏa thuận có đáp ứng điều kiện có hiệu lực hay không; người đưa ra cam kết có đủ thẩm quyền đại diện hay không; và mỗi bên thực sự phải thực hiện những nghĩa vụ gì?</w:t>
      </w:r>
    </w:p>
    <w:p w:rsidR="00000000" w:rsidDel="00000000" w:rsidP="00000000" w:rsidRDefault="00000000" w:rsidRPr="00000000" w14:paraId="00000004">
      <w:pPr>
        <w:pStyle w:val="Heading1"/>
        <w:spacing w:after="140" w:before="26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Một hợp đồng có thể được soạn thảo rất dài nhưng vẫn bỏ sót các điều kiện quyết định khả năng thực thi. Các câu hỏi dưới đây, doanh nghiệp có thể nhìn lại cách mình đang thương lượng và ghi nhận các cam kết.</w:t>
      </w:r>
    </w:p>
    <w:p w:rsidR="00000000" w:rsidDel="00000000" w:rsidP="00000000" w:rsidRDefault="00000000" w:rsidRPr="00000000" w14:paraId="00000005">
      <w:pPr>
        <w:pStyle w:val="Heading1"/>
        <w:spacing w:after="140" w:before="26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 | CÁC BÊN ĐÃ TỰ NGUYỆN THỎA THUẬN: ĐIỀU KHOẢN CÓ ĐƯƠNG NHIÊN CÓ HIỆU LỰC?</w:t>
      </w:r>
    </w:p>
    <w:p w:rsidR="00000000" w:rsidDel="00000000" w:rsidP="00000000" w:rsidRDefault="00000000" w:rsidRPr="00000000" w14:paraId="00000006">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Quyền tự do, tự nguyện cam kết, thỏa thuận là nguyên tắc nền tảng của pháp luật dân sự, nhưng không đồng nghĩa các bên có thể xác lập bất kỳ nội dung nào và mặc nhiên yêu cầu thực thi. Theo Điều 3 và Điều 117 Bộ luật Dân sự 2015, việc xác định hiệu lực giao dịch phải xem xét năng lực chủ thể, sự tự nguyện, mục đích và nội dung không vi phạm điều cấm của luật, không trái đạo đức xã hội; hình thức là điều kiện có hiệu lực trong trường hợp luật có quy định.</w:t>
      </w:r>
    </w:p>
    <w:p w:rsidR="00000000" w:rsidDel="00000000" w:rsidP="00000000" w:rsidRDefault="00000000" w:rsidRPr="00000000" w14:paraId="00000007">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Với giao dịch thương mại, Điều 4 Luật Thương mại 2005 đặt ra yêu cầu xác định đúng phạm vi điều chỉnh và quan hệ giữa luật thương mại với pháp luật có liên quan. Đặc biệt, một số giao dịch còn chịu quy định chuyên ngành về điều kiện kinh doanh, hình thức hợp đồng, công chứng, chứng thực hoặc đăng ký.</w:t>
      </w:r>
    </w:p>
    <w:p w:rsidR="00000000" w:rsidDel="00000000" w:rsidP="00000000" w:rsidRDefault="00000000" w:rsidRPr="00000000" w14:paraId="00000008">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Chẳng hạn, đối với giao dịch mà pháp luật yêu cầu tuân thủ hình thức bắt buộc, việc các bên đã thống nhất hoặc thực hiện một phần nghĩa vụ không đủ để mặc nhiên kết luận giao dịch có hiệu lực. Cần xem xét Điều 119, Điều 129 Bộ luật Dân sự 2015 và quy định chuyên ngành; việc xử lý vi phạm về hình thức còn tùy thuộc vào điều kiện cụ thể của từng trường hợp.</w:t>
      </w:r>
    </w:p>
    <w:p w:rsidR="00000000" w:rsidDel="00000000" w:rsidP="00000000" w:rsidRDefault="00000000" w:rsidRPr="00000000" w14:paraId="00000009">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Điểm cần lưu ý: </w:t>
      </w:r>
      <w:r w:rsidDel="00000000" w:rsidR="00000000" w:rsidRPr="00000000">
        <w:rPr>
          <w:rFonts w:ascii="Times New Roman" w:cs="Times New Roman" w:eastAsia="Times New Roman" w:hAnsi="Times New Roman"/>
          <w:sz w:val="21"/>
          <w:szCs w:val="21"/>
          <w:rtl w:val="0"/>
        </w:rPr>
        <w:t xml:space="preserve">Xác định đúng bản chất giao dịch, điều kiện có hiệu lực và yêu cầu về hình thức, thủ tục trước khi các bên chấp thuận cam kết.</w:t>
      </w:r>
    </w:p>
    <w:p w:rsidR="00000000" w:rsidDel="00000000" w:rsidP="00000000" w:rsidRDefault="00000000" w:rsidRPr="00000000" w14:paraId="0000000A">
      <w:pPr>
        <w:pStyle w:val="Heading1"/>
        <w:spacing w:after="140" w:before="26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 | NGƯỜI ĐÀM PHÁN ĐÃ ĐỒNG Ý: DOANH NGHIỆP ĐỐI TÁC CÓ BỊ RÀNG BUỘC?</w:t>
      </w:r>
    </w:p>
    <w:p w:rsidR="00000000" w:rsidDel="00000000" w:rsidP="00000000" w:rsidRDefault="00000000" w:rsidRPr="00000000" w14:paraId="0000000B">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Trong thực tiễn, người trực tiếp thương lượng có thể là trưởng bộ phận, nhân viên kinh doanh, người được ủy quyền hoặc cá nhân thường xuyên liên hệ với đối tác. Sự hiện diện của họ trong quá trình đàm phán không đồng nghĩa với việc họ có quyền nhân danh doanh nghiệp xác lập mọi nghĩa vụ.</w:t>
      </w:r>
    </w:p>
    <w:p w:rsidR="00000000" w:rsidDel="00000000" w:rsidP="00000000" w:rsidRDefault="00000000" w:rsidRPr="00000000" w14:paraId="0000000C">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Điều 142 và Điều 143 Bộ luật Dân sự 2015 quy định hệ quả của giao dịch do người không có quyền đại diện hoặc vượt quá phạm vi đại diện xác lập, thực hiện. Khi đánh giá trách nhiệm của người được đại diện, không thể chỉ dựa vào chức danh trên danh thiếp hoặc chữ ký trong văn bản; còn phải xem xét phạm vi đại diện, sự công nhận giao dịch, việc biết mà không phản đối trong thời hạn hợp lý và những tình tiết khác theo từng điều luật.</w:t>
      </w:r>
    </w:p>
    <w:p w:rsidR="00000000" w:rsidDel="00000000" w:rsidP="00000000" w:rsidRDefault="00000000" w:rsidRPr="00000000" w14:paraId="0000000D">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Vì vậy, không thể kết luận theo một chiều rằng mọi cam kết do nhân viên đưa ra đều ràng buộc doanh nghiệp, hoặc rằng giao dịch luôn không phát sinh hiệu lực đối với doanh nghiệp khi người ký thiếu thẩm quyền. Hồ sơ đăng ký doanh nghiệp, điều lệ, quyết định phân quyền, giấy ủy quyền và hành vi xác nhận của các bên đều có thể có ý nghĩa trong việc xác định chủ thể chịu trách nhiệm.</w:t>
      </w:r>
    </w:p>
    <w:p w:rsidR="00000000" w:rsidDel="00000000" w:rsidP="00000000" w:rsidRDefault="00000000" w:rsidRPr="00000000" w14:paraId="0000000E">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Điểm cần lưu ý: </w:t>
      </w:r>
      <w:r w:rsidDel="00000000" w:rsidR="00000000" w:rsidRPr="00000000">
        <w:rPr>
          <w:rFonts w:ascii="Times New Roman" w:cs="Times New Roman" w:eastAsia="Times New Roman" w:hAnsi="Times New Roman"/>
          <w:sz w:val="21"/>
          <w:szCs w:val="21"/>
          <w:rtl w:val="0"/>
        </w:rPr>
        <w:t xml:space="preserve">Kiểm tra tư cách đại diện và phạm vi thẩm quyền; lưu giữ căn cứ về việc chấp thuận, phê duyệt hoặc xác nhận các cam kết quan trọng.</w:t>
      </w:r>
    </w:p>
    <w:p w:rsidR="00000000" w:rsidDel="00000000" w:rsidP="00000000" w:rsidRDefault="00000000" w:rsidRPr="00000000" w14:paraId="0000000F">
      <w:pPr>
        <w:pStyle w:val="Heading1"/>
        <w:spacing w:after="140" w:before="26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 | ĐÃ THỐNG NHẤT GIÁ VÀ TIẾN ĐỘ: NỘI DUNG NGHĨA VỤ ĐÃ ĐẦY ĐỦ VÀ RÕ RÀNG?</w:t>
      </w:r>
    </w:p>
    <w:p w:rsidR="00000000" w:rsidDel="00000000" w:rsidP="00000000" w:rsidRDefault="00000000" w:rsidRPr="00000000" w14:paraId="00000010">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Một hợp đồng mua bán có thể ghi nhận đúng chủng loại và đơn giá nhưng bỏ ngỏ tiêu chuẩn chất lượng, quy trình kiểm tra, thời điểm chuyển giao rủi ro hoặc điều kiện từ chối nhận hàng. Một hợp đồng dịch vụ có thể xác định phạm vi công việc nhưng không làm rõ tiêu chí hoàn thành, quy trình nghiệm thu và cách xử lý yêu cầu phát sinh.</w:t>
      </w:r>
    </w:p>
    <w:p w:rsidR="00000000" w:rsidDel="00000000" w:rsidP="00000000" w:rsidRDefault="00000000" w:rsidRPr="00000000" w14:paraId="00000011">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Điều 398 Bộ luật Dân sự 2015 quy định về nội dung hợp đồng mà các bên có thể thỏa thuận; việc thiếu một điều khoản không đương nhiên khiến hợp đồng vô hiệu. Tuy nhiên, trong từng giao dịch, quy định mặc định của pháp luật, thỏa thuận, tập quán hợp pháp và chứng cứ về quá trình giao kết có thể ảnh hưởng đến cách xác định nghĩa vụ. Đối với mua bán hàng hóa, cần đồng thời đối chiếu các quy định của Luật Thương mại 2005 về giao hàng, sự phù hợp của hàng hóa, kiểm tra hàng hóa và thanh toán.</w:t>
      </w:r>
    </w:p>
    <w:p w:rsidR="00000000" w:rsidDel="00000000" w:rsidP="00000000" w:rsidRDefault="00000000" w:rsidRPr="00000000" w14:paraId="00000012">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Vấn đề không nằm ở số lượng điều khoản, mà ở khả năng xác định được bên nào phải làm gì, vào thời điểm nào, theo tiêu chuẩn nào và dựa trên chứng cứ nào để xác định việc thực hiện hoặc vi phạm nghĩa vụ.</w:t>
      </w:r>
    </w:p>
    <w:p w:rsidR="00000000" w:rsidDel="00000000" w:rsidP="00000000" w:rsidRDefault="00000000" w:rsidRPr="00000000" w14:paraId="00000013">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Điểm cần lưu ý: </w:t>
      </w:r>
      <w:r w:rsidDel="00000000" w:rsidR="00000000" w:rsidRPr="00000000">
        <w:rPr>
          <w:rFonts w:ascii="Times New Roman" w:cs="Times New Roman" w:eastAsia="Times New Roman" w:hAnsi="Times New Roman"/>
          <w:sz w:val="21"/>
          <w:szCs w:val="21"/>
          <w:rtl w:val="0"/>
        </w:rPr>
        <w:t xml:space="preserve">Chuyển các kỳ vọng thương mại thành nghĩa vụ cụ thể, có thể kiểm chứng; quy định rõ tiêu chí chất lượng, nghiệm thu, thanh toán và xử lý công việc phát sinh.</w:t>
      </w:r>
    </w:p>
    <w:p w:rsidR="00000000" w:rsidDel="00000000" w:rsidP="00000000" w:rsidRDefault="00000000" w:rsidRPr="00000000" w14:paraId="00000014">
      <w:pPr>
        <w:pStyle w:val="Heading1"/>
        <w:spacing w:after="140" w:before="26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TỪ THỎA THUẬN ĐẾN CHẾ TÀI: ĐIỀU GÌ SẼ XẢY RA NẾU HỢP ĐỒNG BỊ VI PHẠM?</w:t>
      </w:r>
    </w:p>
    <w:p w:rsidR="00000000" w:rsidDel="00000000" w:rsidP="00000000" w:rsidRDefault="00000000" w:rsidRPr="00000000" w14:paraId="00000015">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Thỏa thuận hợp pháp, người ký có thẩm quyền và nghĩa vụ được xác định rõ là nền tảng quan trọng. Nhưng ngay cả khi ba vấn đề này đã được xử lý, doanh nghiệp vẫn cần trả lời câu hỏi tiếp theo: khi đối tác không thực hiện đúng cam kết, điều khoản phạt, bồi thường, lãi chậm thanh toán hoặc quyền chấm dứt hợp đồng có thực sự được áp dụng như các bên dự kiến?</w:t>
      </w:r>
    </w:p>
    <w:p w:rsidR="00000000" w:rsidDel="00000000" w:rsidP="00000000" w:rsidRDefault="00000000" w:rsidRPr="00000000" w14:paraId="00000016">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**Trong Tập 2**, Integritas Vũ Legal tiếp tục phân tích nhóm điều khoản thường quyết định khả năng bảo vệ quyền lợi của doanh nghiệp khi hợp đồng bị vi phạm: phạt vi phạm; bồi thường thiệt hại; lãi chậm thanh toán; và đơn phương chấm dứt, hủy bỏ hợp đồng. Đáng chú ý, một điều khoản phạt 20% giá trị hợp đồng chưa chắc mang lại mức bảo vệ mà bên soạn thảo kỳ vọng.</w:t>
      </w:r>
    </w:p>
    <w:p w:rsidR="00000000" w:rsidDel="00000000" w:rsidP="00000000" w:rsidRDefault="00000000" w:rsidRPr="00000000" w14:paraId="00000017">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Hãy liên hệ Integritas Vũ Legal để được hỗ trợ đánh giá rủi ro và xây dựng phương án pháp lý phù hợp ngay từ giai đoạn chuẩn bị và đàm phán giao dịch.</w:t>
      </w:r>
    </w:p>
    <w:p w:rsidR="00000000" w:rsidDel="00000000" w:rsidP="00000000" w:rsidRDefault="00000000" w:rsidRPr="00000000" w14:paraId="00000018">
      <w:pPr>
        <w:spacing w:after="140" w:line="281"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Website: www.integritasvulegal.com  |  Email: contact@integritasvulegal.com</w:t>
      </w:r>
    </w:p>
    <w:p w:rsidR="00000000" w:rsidDel="00000000" w:rsidP="00000000" w:rsidRDefault="00000000" w:rsidRPr="00000000" w14:paraId="00000019">
      <w:pPr>
        <w:pStyle w:val="Heading1"/>
        <w:spacing w:after="140" w:before="26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________________________________________</w:t>
      </w:r>
    </w:p>
    <w:p w:rsidR="00000000" w:rsidDel="00000000" w:rsidP="00000000" w:rsidRDefault="00000000" w:rsidRPr="00000000" w14:paraId="0000001A">
      <w:pPr>
        <w:pStyle w:val="Heading1"/>
        <w:spacing w:after="140" w:before="260" w:line="28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BÁO PHÁP LÝ VÀ QUYỀN TÁC GIẢ</w:t>
      </w:r>
    </w:p>
    <w:p w:rsidR="00000000" w:rsidDel="00000000" w:rsidP="00000000" w:rsidRDefault="00000000" w:rsidRPr="00000000" w14:paraId="0000001B">
      <w:pPr>
        <w:pStyle w:val="Heading1"/>
        <w:spacing w:after="140" w:before="26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2026 Integritas Vũ Legal. Nội dung bài viết do Công Ty Luật Trách Nhiện Hữu Hạn Integritas Vũ Legal biên soạn và công bố; các quyền đối với phần nội dung thuộc phạm vi bảo hộ được thực hiện theo quy định pháp luật về sở hữu trí tuệ. Không được sao chép, chỉnh sửa, tái bản, phân phối hoặc khai thác nội dung vì mục đích thương mại khi chưa có sự chấp thuận của chủ thể có quyền, trừ các trường hợp được pháp luật cho phép. Khi trích dẫn hợp pháp, đề nghị ghi rõ nguồn và đường dẫn đến bài viết gốc.</w:t>
      </w:r>
    </w:p>
    <w:p w:rsidR="00000000" w:rsidDel="00000000" w:rsidP="00000000" w:rsidRDefault="00000000" w:rsidRPr="00000000" w14:paraId="0000001C">
      <w:pPr>
        <w:pStyle w:val="Heading1"/>
        <w:spacing w:after="140" w:before="260" w:line="28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viết chỉ cung cấp thông tin pháp lý tổng quát tại thời điểm công bố, không phải ý kiến tư vấn pháp lý cho một vụ việc cụ thể, không tạo lập quan hệ luật sư – khách hàng và không thay thế việc đánh giá hồ sơ, chứng cứ, thỏa thuận và quy định áp dụng. Người đọc không nên tự ý dựa duy nhất vào nội dung này để thực hiện, trì hoãn hoặc từ bỏ bất kỳ biện pháp pháp lý nào. Kết quả xử lý phụ thuộc vào tình tiết và pháp luật áp dụng trong từng trường hợp; nội dung có thể cần cập nhật khi pháp luật hoặc thực tiễn áp dụng thay đổi.</w:t>
      </w:r>
    </w:p>
    <w:p w:rsidR="00000000" w:rsidDel="00000000" w:rsidP="00000000" w:rsidRDefault="00000000" w:rsidRPr="00000000" w14:paraId="0000001D">
      <w:pPr>
        <w:spacing w:after="160" w:line="276" w:lineRule="auto"/>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