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0567E" w14:textId="77777777" w:rsidR="00E52490" w:rsidRDefault="00000000">
      <w:pPr>
        <w:pStyle w:val="Heading1"/>
      </w:pPr>
      <w:r>
        <w:t>TRANSACTIONS WITHOUT A FORMALLY EXECUTED WRITTEN CONTRACT: IDENTIFYING LEGAL RISKS</w:t>
      </w:r>
    </w:p>
    <w:p w14:paraId="0562EA08" w14:textId="77777777" w:rsidR="00E52490" w:rsidRPr="00D64345" w:rsidRDefault="00000000">
      <w:pPr>
        <w:rPr>
          <w:rFonts w:hint="eastAsia"/>
          <w:i/>
          <w:iCs/>
        </w:rPr>
      </w:pPr>
      <w:r w:rsidRPr="00D64345">
        <w:rPr>
          <w:i/>
          <w:iCs/>
        </w:rPr>
        <w:t>Not every transaction begins with a formally executed written contract or agreement. A purchase order sent by text message. A payment transferred. Goods delivered. Yet no written contract has been formally executed. The transaction may nevertheless give rise to rights and obligations—but has the business retained sufficient documentation to protect its position vis-à-vis its counterparty, the tax authorities and the competent judicial authorities?</w:t>
      </w:r>
    </w:p>
    <w:p w14:paraId="3EB8E89B" w14:textId="77777777" w:rsidR="00E52490" w:rsidRDefault="00000000">
      <w:pPr>
        <w:pStyle w:val="Heading2"/>
      </w:pPr>
      <w:r>
        <w:t>01 | NO FORMALLY EXECUTED WRITTEN CONTRACT: CAN THE TRANSACTION BE LEGALLY RECOGNISED?</w:t>
      </w:r>
    </w:p>
    <w:p w14:paraId="56C068E2" w14:textId="77777777" w:rsidR="00E52490" w:rsidRDefault="00000000">
      <w:pPr>
        <w:rPr>
          <w:rFonts w:hint="eastAsia"/>
        </w:rPr>
      </w:pPr>
      <w:r>
        <w:t>In civil transactions and commercial activities, transactions may be entered into orally, in writing or through specific conduct. Article 24 of the 2005 Commercial Law recognises these forms for contracts for the sale and purchase of goods. Article 119 of the 2015 Civil Code likewise recognises the corresponding forms of civil transactions. Accordingly, the absence of a formally executed written contract does not, in itself, mean that a transaction does not exist or is invalid. The nature of the transaction and the conditions governing its validity must nevertheless be properly determined.</w:t>
      </w:r>
    </w:p>
    <w:p w14:paraId="2E84997E" w14:textId="77777777" w:rsidR="00E52490" w:rsidRDefault="00000000">
      <w:pPr>
        <w:rPr>
          <w:rFonts w:hint="eastAsia"/>
        </w:rPr>
      </w:pPr>
      <w:r>
        <w:t>An important exception must be borne in mind: where sector-specific legislation requires a transaction to be made in writing, notarised, certified or registered, the parties must comply with the applicable requirements. Articles 117, 119 and 129 of the 2015 Civil Code provide the basis for assessing validity requirements and the consequences of non-compliance with formal requirements. It cannot be assumed that payment or partial performance automatically cures every defect in form.</w:t>
      </w:r>
    </w:p>
    <w:p w14:paraId="30014620" w14:textId="77777777" w:rsidR="00E52490" w:rsidRPr="002D721A" w:rsidRDefault="00000000">
      <w:pPr>
        <w:rPr>
          <w:rFonts w:hint="eastAsia"/>
          <w:iCs/>
        </w:rPr>
      </w:pPr>
      <w:r w:rsidRPr="002D721A">
        <w:rPr>
          <w:b/>
          <w:bCs/>
          <w:iCs/>
          <w:u w:val="single"/>
        </w:rPr>
        <w:t>Key legal question</w:t>
      </w:r>
      <w:r w:rsidRPr="002D721A">
        <w:rPr>
          <w:iCs/>
        </w:rPr>
        <w:t>: Did the parties actually reach an agreement, or did one party merely send a quotation or proposed terms and then treat the counterparty as having accepted them?</w:t>
      </w:r>
    </w:p>
    <w:p w14:paraId="3BEBFAD0" w14:textId="01F73D4F" w:rsidR="00E52490" w:rsidRDefault="00000000">
      <w:pPr>
        <w:pStyle w:val="Heading2"/>
      </w:pPr>
      <w:r>
        <w:t xml:space="preserve">02 | </w:t>
      </w:r>
      <w:r w:rsidR="00097ACF" w:rsidRPr="00097ACF">
        <w:t>IDENTIFYING THE PERSONS AND ENTITIES BEHIND A TRANSACTION — AND THEIR LEGAL LIABILITY</w:t>
      </w:r>
    </w:p>
    <w:p w14:paraId="6701D873" w14:textId="04F7A159" w:rsidR="00E52490" w:rsidRDefault="00000000">
      <w:pPr>
        <w:rPr>
          <w:rFonts w:hint="eastAsia"/>
        </w:rPr>
      </w:pPr>
      <w:r>
        <w:t>Who is actually bound by the obligation? Was the person placing the order duly authorised to represent the business? Does a transfer from an individual's bank account constitute payment by the company? Are the recipient of the goods, the party named on the invoice</w:t>
      </w:r>
      <w:r w:rsidR="00097ACF">
        <w:t>,</w:t>
      </w:r>
      <w:r>
        <w:t xml:space="preserve"> and the party liable to pay in fact the same legal person? These are common points of disagreement that may directly affect the scope of claims in a dispute.</w:t>
      </w:r>
    </w:p>
    <w:p w14:paraId="4CD99A47" w14:textId="77777777" w:rsidR="00E52490" w:rsidRDefault="00000000">
      <w:pPr>
        <w:rPr>
          <w:rFonts w:hint="eastAsia"/>
        </w:rPr>
      </w:pPr>
      <w:r>
        <w:t>Articles 142 and 143 of the 2015 Civil Code address the legal consequences of transactions entered into by persons acting without representative authority or beyond the scope of their authority. Importantly, an employee's or intermediary's involvement in communications relating to a transaction does not automatically create obligations for the company. The mere fact that an employee exchanged messages and received goods is not, by itself, sufficient to conclude that the company accepted every obligation.</w:t>
      </w:r>
    </w:p>
    <w:p w14:paraId="53008237" w14:textId="77777777" w:rsidR="00E52490" w:rsidRDefault="00000000">
      <w:pPr>
        <w:pStyle w:val="Heading2"/>
      </w:pPr>
      <w:r>
        <w:t>03 | A TRANSACTION TOOK PLACE—BUT IS THERE SUFFICIENT EVIDENCE?</w:t>
      </w:r>
    </w:p>
    <w:p w14:paraId="55904B73" w14:textId="77777777" w:rsidR="00E52490" w:rsidRDefault="00000000">
      <w:pPr>
        <w:rPr>
          <w:rFonts w:hint="eastAsia"/>
        </w:rPr>
      </w:pPr>
      <w:r>
        <w:t>Emails, order records, delivery notes, acceptance records, bank statements, invoices and reconciliations of outstanding balances may help establish a transaction. However, each document may prove only part of the relevant facts: an invoice does not, by itself, establish that the buyer accepted all contractual terms; a bank transfer does not invariably establish the legal nature of the payment. Articles 91, 94 and 95 of the 2015 Civil Procedure Code govern the burden of proof and sources of evidence; data messages must be assessed under the 2023 Law on Electronic Transactions.</w:t>
      </w:r>
    </w:p>
    <w:p w14:paraId="1BAB61F5" w14:textId="303501A0" w:rsidR="00E52490" w:rsidRPr="00097ACF" w:rsidRDefault="00000000">
      <w:pPr>
        <w:rPr>
          <w:rFonts w:hint="eastAsia"/>
          <w:iCs/>
        </w:rPr>
      </w:pPr>
      <w:r w:rsidRPr="00097ACF">
        <w:rPr>
          <w:b/>
          <w:bCs/>
          <w:iCs/>
        </w:rPr>
        <w:lastRenderedPageBreak/>
        <w:t>Key legal question</w:t>
      </w:r>
      <w:r w:rsidRPr="00097ACF">
        <w:rPr>
          <w:iCs/>
        </w:rPr>
        <w:t>: I</w:t>
      </w:r>
      <w:r w:rsidR="00097ACF">
        <w:rPr>
          <w:iCs/>
        </w:rPr>
        <w:t>n case</w:t>
      </w:r>
      <w:r w:rsidRPr="00097ACF">
        <w:rPr>
          <w:iCs/>
        </w:rPr>
        <w:t xml:space="preserve"> the counterparty denies the transaction, who must prove that an order was placed, goods were delivered or received, and an outstanding amount remains payable?</w:t>
      </w:r>
    </w:p>
    <w:p w14:paraId="18D9AC0E" w14:textId="77777777" w:rsidR="00E52490" w:rsidRDefault="00000000">
      <w:pPr>
        <w:pStyle w:val="Heading2"/>
      </w:pPr>
      <w:r>
        <w:t>04 | TAX RISKS: A GENUINE TRANSACTION MAY STILL FAIL TO MEET DEDUCTION REQUIREMENTS</w:t>
      </w:r>
    </w:p>
    <w:p w14:paraId="71AA4377" w14:textId="77777777" w:rsidR="00E52490" w:rsidRDefault="00000000">
      <w:pPr>
        <w:rPr>
          <w:rFonts w:hint="eastAsia"/>
        </w:rPr>
      </w:pPr>
      <w:r>
        <w:t>This distinction is easily overlooked: the validity of a contract under civil or commercial law and its treatment for tax purposes are separate legal assessments. An expense actually incurred is not automatically deductible when determining taxable corporate income. Within its applicable scope, Clause 1, Article 9 of Decree No. 320/2025/ND-CP requires expenses to be related to business operations, supported by sufficient lawful invoices and documents, and accompanied by evidence of non-cash payment for each purchase of goods or services, or other payment, of VND 5 million or more. Exceptions and special cases must be examined under the implementing instruments, including Circular No. 20/2026/TT-BTC. [1]</w:t>
      </w:r>
    </w:p>
    <w:p w14:paraId="2BEB16C8" w14:textId="77777777" w:rsidR="00E52490" w:rsidRDefault="00000000">
      <w:pPr>
        <w:rPr>
          <w:rFonts w:hint="eastAsia"/>
        </w:rPr>
      </w:pPr>
      <w:r>
        <w:t>For input value-added tax (VAT), Articles 25 and 26 of Decree No. 181/2025/ND-CP prescribe requirements concerning invoices and evidence of non-cash payment, subject to an applicable threshold of VND 5 million (inclusive of VAT). In particular, the amendments introduced by Decree No. 144/2026/ND-CP concerning deferred-payment and instalment purchases at or above that threshold expressly address written contracts for the purchase of goods or services, VAT invoices and payment documentation; where payment is not yet due, input VAT deduction and subsequent adjustments are governed by the specific applicable conditions. This illustrates why the existence of a genuine transaction does not dispense with contractual documentation where tax legislation requires it. [2]</w:t>
      </w:r>
    </w:p>
    <w:p w14:paraId="74D5B585" w14:textId="258D8FF4" w:rsidR="00E52490" w:rsidRPr="00097ACF" w:rsidRDefault="00000000">
      <w:pPr>
        <w:rPr>
          <w:rFonts w:hint="eastAsia"/>
          <w:iCs/>
        </w:rPr>
      </w:pPr>
      <w:r w:rsidRPr="00097ACF">
        <w:rPr>
          <w:b/>
          <w:bCs/>
          <w:iCs/>
          <w:u w:val="single"/>
        </w:rPr>
        <w:t>Key legal question</w:t>
      </w:r>
      <w:r w:rsidRPr="00097ACF">
        <w:rPr>
          <w:iCs/>
        </w:rPr>
        <w:t xml:space="preserve">: A company receives goods pursuant to an oral arrangement, pays VND 80 million in cash and retains only a delivery note. In a civil dispute, the transaction may still be assessed </w:t>
      </w:r>
      <w:r w:rsidR="00097ACF">
        <w:rPr>
          <w:iCs/>
        </w:rPr>
        <w:t>based on</w:t>
      </w:r>
      <w:r w:rsidRPr="00097ACF">
        <w:rPr>
          <w:iCs/>
        </w:rPr>
        <w:t xml:space="preserve"> the evidence as a whole. The company may nevertheless face the risk of failing to satisfy documentary requirements for input VAT deduction or corporate income tax deductibility. The outcome depends on the parties and transaction concerned, its timing, the supporting documents and any applicable statutory exceptions.</w:t>
      </w:r>
    </w:p>
    <w:p w14:paraId="45A1985E" w14:textId="77777777" w:rsidR="00E52490" w:rsidRDefault="00000000">
      <w:pPr>
        <w:pStyle w:val="Heading2"/>
      </w:pPr>
      <w:r>
        <w:t>05 | UNLAWFUL INVOICE TRADING: FROM “LEGITIMISING EXPENSES” TO CRIMINAL EXPOSURE</w:t>
      </w:r>
    </w:p>
    <w:p w14:paraId="635F1B19" w14:textId="77777777" w:rsidR="00E52490" w:rsidRDefault="00000000">
      <w:pPr>
        <w:rPr>
          <w:rFonts w:hint="eastAsia"/>
        </w:rPr>
      </w:pPr>
      <w:r>
        <w:t>A particularly serious mistake is to obtain invoices from a third party to make up for missing transaction documents, or to use invoices that do not reflect goods or services actually supplied. An invoice cannot substitute for a genuine transaction, and a fictitious document cannot lawfully legitimise an expense. The use of unlawful invoices may result in tax consequences and administrative penalties. Where the statutory elements of an offence are satisfied, unlawful trading in invoices or documents evidencing payments into the State budget may be examined under Article 203 of the 2015 Criminal Code (as amended and supplemented). Depending on the circumstances, fraudulent conduct intended to reduce tax payable must also be assessed separately under Article 200 on tax evasion. Not every invoicing error constitutes a criminal offence. [3]</w:t>
      </w:r>
    </w:p>
    <w:p w14:paraId="529F7CD3" w14:textId="77777777" w:rsidR="00E52490" w:rsidRDefault="00000000">
      <w:pPr>
        <w:pStyle w:val="Heading2"/>
      </w:pPr>
      <w:r>
        <w:t>06 | PREVENTIVE STRATEGY MUST BEGIN BEFORE A DISPUTE ARISES</w:t>
      </w:r>
    </w:p>
    <w:p w14:paraId="4B849653" w14:textId="77777777" w:rsidR="00E52490" w:rsidRDefault="00000000">
      <w:pPr>
        <w:rPr>
          <w:rFonts w:hint="eastAsia"/>
        </w:rPr>
      </w:pPr>
      <w:r>
        <w:t>At the outset of a transaction, a minimum control process should include verifying the authority of the person placing the order; confirming, through records capable of being retained, the goods, price, delivery terms and payment conditions; reconciling supporting documents against cash flows and invoices; and identifying at an early stage whether the transaction is subject to particular formal requirements or tax documentation rules. When signs of disagreement emerge, the original data should be preserved, a chronology of the transaction prepared, and civil, commercial and tax risks assessed together with any potential criminal-law issues where relevant indications arise.</w:t>
      </w:r>
    </w:p>
    <w:p w14:paraId="3887C8AB" w14:textId="77777777" w:rsidR="00E52490" w:rsidRDefault="00000000">
      <w:pPr>
        <w:rPr>
          <w:rFonts w:hint="eastAsia"/>
        </w:rPr>
      </w:pPr>
      <w:r>
        <w:lastRenderedPageBreak/>
        <w:t>The legal question goes beyond “Can a claim be brought without a formally executed written contract?” A single transaction may give rise to a payment obligation while also exposing the parties to the risk of claims being dismissed for insufficient evidence, expenses being disallowed for tax purposes, input VAT deductions being denied, or liability arising from unlawful invoices.</w:t>
      </w:r>
    </w:p>
    <w:p w14:paraId="4C2A0BC8" w14:textId="16EACA52" w:rsidR="00E52490" w:rsidRDefault="00000000">
      <w:pPr>
        <w:rPr>
          <w:rFonts w:hint="eastAsia"/>
        </w:rPr>
      </w:pPr>
      <w:r>
        <w:t>Integritas V</w:t>
      </w:r>
      <w:r w:rsidR="00097ACF">
        <w:t>u</w:t>
      </w:r>
      <w:r>
        <w:t xml:space="preserve"> Legal </w:t>
      </w:r>
      <w:r w:rsidR="00097ACF">
        <w:t>LLC (</w:t>
      </w:r>
      <w:r w:rsidR="00097ACF" w:rsidRPr="00097ACF">
        <w:rPr>
          <w:b/>
          <w:bCs/>
        </w:rPr>
        <w:t>Integri</w:t>
      </w:r>
      <w:r w:rsidR="00097ACF">
        <w:rPr>
          <w:b/>
          <w:bCs/>
        </w:rPr>
        <w:t>t</w:t>
      </w:r>
      <w:r w:rsidR="00097ACF" w:rsidRPr="00097ACF">
        <w:rPr>
          <w:b/>
          <w:bCs/>
        </w:rPr>
        <w:t>a</w:t>
      </w:r>
      <w:r w:rsidR="00097ACF">
        <w:rPr>
          <w:b/>
          <w:bCs/>
        </w:rPr>
        <w:t>s</w:t>
      </w:r>
      <w:r w:rsidR="00097ACF" w:rsidRPr="00097ACF">
        <w:rPr>
          <w:b/>
          <w:bCs/>
        </w:rPr>
        <w:t xml:space="preserve"> Vu Legal</w:t>
      </w:r>
      <w:r w:rsidR="00097ACF">
        <w:t xml:space="preserve">) </w:t>
      </w:r>
      <w:r>
        <w:t>examines transactions through their legal substance, supporting evidence, cash flows, tax obligations and commercial objectives, and develops an appropriate course of action as soon as issues are identified rather than waiting for a dispute to arise.</w:t>
      </w:r>
    </w:p>
    <w:p w14:paraId="0412D253" w14:textId="33534F77" w:rsidR="00E52490" w:rsidRDefault="00000000">
      <w:pPr>
        <w:rPr>
          <w:rFonts w:hint="eastAsia"/>
        </w:rPr>
      </w:pPr>
      <w:r>
        <w:t>Contact Integritas V</w:t>
      </w:r>
      <w:r w:rsidR="00097ACF">
        <w:t>u</w:t>
      </w:r>
      <w:r>
        <w:t xml:space="preserve"> Legal for assistance in reviewing risks, assessing available courses of action and developing an appropriate legal strategy. Through an in-depth approach and solutions tailored to the circumstances of each matter, we work alongside clients to prevent and manage risks and effectively protect their lawful rights and interests.</w:t>
      </w:r>
    </w:p>
    <w:p w14:paraId="611B6562" w14:textId="70702EF6" w:rsidR="00E52490" w:rsidRDefault="00000000">
      <w:pPr>
        <w:rPr>
          <w:rFonts w:hint="eastAsia"/>
        </w:rPr>
      </w:pPr>
      <w:r>
        <w:t xml:space="preserve">Website: </w:t>
      </w:r>
      <w:hyperlink r:id="rId8" w:history="1">
        <w:r w:rsidR="00097ACF" w:rsidRPr="004762D4">
          <w:rPr>
            <w:rStyle w:val="Hyperlink"/>
          </w:rPr>
          <w:t>www.integritasvulegal.com</w:t>
        </w:r>
      </w:hyperlink>
      <w:r w:rsidR="00097ACF">
        <w:t xml:space="preserve"> </w:t>
      </w:r>
    </w:p>
    <w:p w14:paraId="730D5962" w14:textId="68AFD78D" w:rsidR="00E52490" w:rsidRDefault="00000000">
      <w:pPr>
        <w:rPr>
          <w:rFonts w:hint="eastAsia"/>
        </w:rPr>
      </w:pPr>
      <w:r>
        <w:t xml:space="preserve">Email: </w:t>
      </w:r>
      <w:hyperlink r:id="rId9" w:history="1">
        <w:r w:rsidR="00097ACF" w:rsidRPr="004762D4">
          <w:rPr>
            <w:rStyle w:val="Hyperlink"/>
          </w:rPr>
          <w:t>contact@integritasvulegal.com</w:t>
        </w:r>
      </w:hyperlink>
      <w:r w:rsidR="00097ACF">
        <w:t xml:space="preserve"> </w:t>
      </w:r>
    </w:p>
    <w:p w14:paraId="622AFD4F" w14:textId="77777777" w:rsidR="00E52490" w:rsidRDefault="00000000">
      <w:pPr>
        <w:rPr>
          <w:rFonts w:hint="eastAsia"/>
        </w:rPr>
      </w:pPr>
      <w:r>
        <w:t>-------</w:t>
      </w:r>
    </w:p>
    <w:p w14:paraId="2644B184" w14:textId="77777777" w:rsidR="00E52490" w:rsidRDefault="00000000">
      <w:pPr>
        <w:rPr>
          <w:rFonts w:hint="eastAsia"/>
        </w:rPr>
      </w:pPr>
      <w:r>
        <w:rPr>
          <w:sz w:val="16"/>
        </w:rPr>
        <w:t>[1] Law on Corporate Income Tax No. 67/2025/QH15, Article 9; Decree No. 320/2025/ND-CP, Clause 1, Article 9; Circular No. 20/2026/TT-BTC. Ministry of Finance: https://portal.mof.gov.vn/hoidapcstc/home/cthoidap/160392 ; https://www.mof.gov.vn/tin-tuc-tai-chinh/tin-chinh-sach-tai-chinh/cac-khoan-chi-phi-duoc-tru-khi-tinh-thue-tndn-phai-co-du-hoa-don-chung-tu-theo-quy-dinh</w:t>
      </w:r>
    </w:p>
    <w:p w14:paraId="345AEB6C" w14:textId="77777777" w:rsidR="00E52490" w:rsidRDefault="00000000">
      <w:pPr>
        <w:rPr>
          <w:rFonts w:hint="eastAsia"/>
        </w:rPr>
      </w:pPr>
      <w:r>
        <w:rPr>
          <w:sz w:val="16"/>
        </w:rPr>
        <w:t>[2] Decree No. 181/2025/ND-CP, Articles 25 and 26; Decree No. 144/2026/ND-CP (effective 20 June 2026). https://baochinhphu.vn/sua-doi-bo-sung-mot-so-quy-dinh-ve-thue-gia-tri-gia-tang-102260506173207886.htm</w:t>
      </w:r>
    </w:p>
    <w:p w14:paraId="1F06593D" w14:textId="77777777" w:rsidR="00E52490" w:rsidRDefault="00000000">
      <w:pPr>
        <w:rPr>
          <w:rFonts w:hint="eastAsia"/>
        </w:rPr>
      </w:pPr>
      <w:r>
        <w:rPr>
          <w:sz w:val="16"/>
        </w:rPr>
        <w:t>[3] 2015 Criminal Code, Articles 200 and 203, and relevant amending instruments. https://vbpl.moj.gov.vn/nganhangnhanuoc/Pages/vbpq-toanvan.aspx?ItemID=96122&amp;Keyword=</w:t>
      </w:r>
    </w:p>
    <w:p w14:paraId="519A4C2E" w14:textId="77777777" w:rsidR="00E52490" w:rsidRDefault="00000000">
      <w:pPr>
        <w:pStyle w:val="Heading2"/>
      </w:pPr>
      <w:r>
        <w:t>LEGAL NOTICE AND COPYRIGHT</w:t>
      </w:r>
    </w:p>
    <w:p w14:paraId="55AA2197" w14:textId="77777777" w:rsidR="00B544AB" w:rsidRDefault="00B544AB" w:rsidP="00B544AB">
      <w:r>
        <w:t>© 2026 Integritas Vu Legal. This Article has been prepared and published by Integritas Vu Legal LLC. Rights in the content to the extent protected by intellectual property law are reserved and exercised in accordance with applicable law. No part of the content may be reproduced, modified, republished, distributed, or commercially exploited without the authorization of the relevant rights holder, except as permitted by law. Where lawful quotation is made, please acknowledge the source and provide a link to the original Article.</w:t>
      </w:r>
    </w:p>
    <w:p w14:paraId="113F13D4" w14:textId="7AD77777" w:rsidR="00E52490" w:rsidRDefault="00B544AB" w:rsidP="00B544AB">
      <w:pPr>
        <w:rPr>
          <w:rFonts w:hint="eastAsia"/>
        </w:rPr>
      </w:pPr>
      <w:r>
        <w:t>This Article provides general legal information as at the date of publication. It does not constitute legal advice on any particular matter, does not establish a lawyer–Client relationship, and is not a substitute for reviewing the relevant documents, evidence, agreements, and applicable law. Readers should not rely solely on this Article when taking, delaying, or refraining from any legal action. Outcomes depend on the facts and applicable law in each case, and the content may require updating as legislation or legal practice develops.</w:t>
      </w:r>
    </w:p>
    <w:sectPr w:rsidR="00E52490" w:rsidSect="00034616">
      <w:footerReference w:type="default" r:id="rId10"/>
      <w:pgSz w:w="12240" w:h="15840"/>
      <w:pgMar w:top="1152" w:right="1368" w:bottom="1080" w:left="13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AD4B5" w14:textId="77777777" w:rsidR="00CF3761" w:rsidRDefault="00CF3761">
      <w:pPr>
        <w:spacing w:after="0" w:line="240" w:lineRule="auto"/>
        <w:rPr>
          <w:rFonts w:hint="eastAsia"/>
        </w:rPr>
      </w:pPr>
      <w:r>
        <w:separator/>
      </w:r>
    </w:p>
  </w:endnote>
  <w:endnote w:type="continuationSeparator" w:id="0">
    <w:p w14:paraId="6FE0C320" w14:textId="77777777" w:rsidR="00CF3761" w:rsidRDefault="00CF376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2A4D5" w14:textId="7DFAF42C" w:rsidR="00E52490" w:rsidRDefault="00E52490">
    <w:pPr>
      <w:pStyle w:val="Footer"/>
      <w:jc w:val="cen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7D0F7" w14:textId="77777777" w:rsidR="00CF3761" w:rsidRDefault="00CF3761">
      <w:pPr>
        <w:spacing w:after="0" w:line="240" w:lineRule="auto"/>
        <w:rPr>
          <w:rFonts w:hint="eastAsia"/>
        </w:rPr>
      </w:pPr>
      <w:r>
        <w:separator/>
      </w:r>
    </w:p>
  </w:footnote>
  <w:footnote w:type="continuationSeparator" w:id="0">
    <w:p w14:paraId="22F7F291" w14:textId="77777777" w:rsidR="00CF3761" w:rsidRDefault="00CF3761">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7564381">
    <w:abstractNumId w:val="8"/>
  </w:num>
  <w:num w:numId="2" w16cid:durableId="358090502">
    <w:abstractNumId w:val="6"/>
  </w:num>
  <w:num w:numId="3" w16cid:durableId="160968687">
    <w:abstractNumId w:val="5"/>
  </w:num>
  <w:num w:numId="4" w16cid:durableId="782382438">
    <w:abstractNumId w:val="4"/>
  </w:num>
  <w:num w:numId="5" w16cid:durableId="914052555">
    <w:abstractNumId w:val="7"/>
  </w:num>
  <w:num w:numId="6" w16cid:durableId="166482673">
    <w:abstractNumId w:val="3"/>
  </w:num>
  <w:num w:numId="7" w16cid:durableId="1060710615">
    <w:abstractNumId w:val="2"/>
  </w:num>
  <w:num w:numId="8" w16cid:durableId="897787790">
    <w:abstractNumId w:val="1"/>
  </w:num>
  <w:num w:numId="9" w16cid:durableId="1831322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ACF"/>
    <w:rsid w:val="0015074B"/>
    <w:rsid w:val="0029639D"/>
    <w:rsid w:val="002D721A"/>
    <w:rsid w:val="00326F90"/>
    <w:rsid w:val="00A005F4"/>
    <w:rsid w:val="00AA1D8D"/>
    <w:rsid w:val="00B47730"/>
    <w:rsid w:val="00B544AB"/>
    <w:rsid w:val="00CB0664"/>
    <w:rsid w:val="00CF3761"/>
    <w:rsid w:val="00D64345"/>
    <w:rsid w:val="00E524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DFD25C"/>
  <w14:defaultImageDpi w14:val="300"/>
  <w15:docId w15:val="{A4A5FA4E-D7B9-4D09-9DD4-CD68728B9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97ACF"/>
    <w:rPr>
      <w:color w:val="0000FF" w:themeColor="hyperlink"/>
      <w:u w:val="single"/>
    </w:rPr>
  </w:style>
  <w:style w:type="character" w:styleId="UnresolvedMention">
    <w:name w:val="Unresolved Mention"/>
    <w:basedOn w:val="DefaultParagraphFont"/>
    <w:uiPriority w:val="99"/>
    <w:semiHidden/>
    <w:unhideWhenUsed/>
    <w:rsid w:val="00097A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ntegritasvulega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contact@integritasvulega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1577</Words>
  <Characters>8992</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Vu Nguyen - Integritas Vu Legal</cp:lastModifiedBy>
  <cp:revision>2</cp:revision>
  <dcterms:created xsi:type="dcterms:W3CDTF">2013-12-23T23:15:00Z</dcterms:created>
  <dcterms:modified xsi:type="dcterms:W3CDTF">2026-10-21T07:29:00Z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e3c5c7b3072f8a4e885825abf14254dbc9d7de0f9aaa4c80e85c1017b775f86e</vt:lpwstr>
  </property>
</Properties>
</file>