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pStyle w:val="Heading6"/>
        <w:keepNext w:val="0"/>
        <w:keepLines w:val="0"/>
        <w:spacing w:after="0" w:before="120" w:line="312" w:lineRule="auto"/>
        <w:ind w:left="0"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Quy trình tổng hợp, khai thác và gửi báo cáo của Ban Quản lý khu trình Cục Đầu tư nước ngoài qua UBND Tỉnh phê duyệt (CMCĐT_BCTK_06).</w:t>
      </w:r>
    </w:p>
    <w:p w:rsidR="00000000" w:rsidDel="00000000" w:rsidP="00000000" w:rsidRDefault="00000000" w:rsidRPr="00000000" w14:paraId="00000003">
      <w:pPr>
        <w:numPr>
          <w:ilvl w:val="0"/>
          <w:numId w:val="2"/>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Sơ đồ quy trình</w:t>
      </w:r>
    </w:p>
    <w:p w:rsidR="00000000" w:rsidDel="00000000" w:rsidP="00000000" w:rsidRDefault="00000000" w:rsidRPr="00000000" w14:paraId="00000004">
      <w:pPr>
        <w:keepLines w:val="1"/>
        <w:widowControl w:val="0"/>
        <w:spacing w:after="120" w:lin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5759848" cy="22242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848" cy="2224227"/>
                    </a:xfrm>
                    <a:prstGeom prst="rect"/>
                    <a:ln/>
                  </pic:spPr>
                </pic:pic>
              </a:graphicData>
            </a:graphic>
          </wp:inline>
        </w:drawing>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05">
      <w:pPr>
        <w:numPr>
          <w:ilvl w:val="0"/>
          <w:numId w:val="2"/>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Mô tả quy trình</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
        <w:gridCol w:w="3172"/>
        <w:gridCol w:w="1492"/>
        <w:gridCol w:w="3476"/>
        <w:tblGridChange w:id="0">
          <w:tblGrid>
            <w:gridCol w:w="924"/>
            <w:gridCol w:w="3172"/>
            <w:gridCol w:w="1492"/>
            <w:gridCol w:w="34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báo cáo số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thực hiện Báo cáo số liệu thuộc phạm vi quản lý trên hệ thống, cập nhật đầy đủ thông tin, số liệu, nội dung báo cáo theo biểu mẫu và yêu cầu nghiệp vụ để phục vụ công tác tổng hợp, khai thác và gửi báo cáo trình cấp có thẩm quyền xem xét.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hoặc Cán bộ chuyên môn Ban Quản lý khu thực hiện gửi báo cáo số liệu trên hệ thống để chuyển Cán bộ tổng hợp Ban Quản lý khu, kiểm tra và xử lý theo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Ban Quản lý khu thực hiện rà soát nội dung, số liệu và hình thức thể hiện của báo cáo do Cán bộ chuyên môn Ban Quản lý khu gửi lên. </w:t>
            </w:r>
          </w:p>
          <w:p w:rsidR="00000000" w:rsidDel="00000000" w:rsidP="00000000" w:rsidRDefault="00000000" w:rsidRPr="00000000" w14:paraId="00000016">
            <w:pPr>
              <w:numPr>
                <w:ilvl w:val="0"/>
                <w:numId w:val="4"/>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chưa bảo đảm yêu cầu thì </w:t>
            </w:r>
            <w:r w:rsidDel="00000000" w:rsidR="00000000" w:rsidRPr="00000000">
              <w:rPr>
                <w:rFonts w:ascii="Times New Roman" w:cs="Times New Roman" w:eastAsia="Times New Roman" w:hAnsi="Times New Roman"/>
                <w:b w:val="1"/>
                <w:bCs w:val="1"/>
                <w:sz w:val="28"/>
                <w:szCs w:val="28"/>
                <w:rtl w:val="0"/>
              </w:rPr>
              <w:t xml:space="preserve">chuyển lại bước 7 </w:t>
            </w:r>
            <w:r w:rsidDel="00000000" w:rsidR="00000000" w:rsidRPr="00000000">
              <w:rPr>
                <w:rFonts w:ascii="Times New Roman" w:cs="Times New Roman" w:eastAsia="Times New Roman" w:hAnsi="Times New Roman"/>
                <w:sz w:val="28"/>
                <w:szCs w:val="28"/>
                <w:rtl w:val="0"/>
              </w:rPr>
              <w:t xml:space="preserve">để Cán bộ chuyên môn Ban Quản lý khu bổ sung/chỉnh sửa, hoàn thiện; </w:t>
            </w:r>
            <w:r w:rsidDel="00000000" w:rsidR="00000000" w:rsidRPr="00000000">
              <w:rPr>
                <w:rtl w:val="0"/>
              </w:rPr>
            </w:r>
          </w:p>
          <w:p w:rsidR="00000000" w:rsidDel="00000000" w:rsidP="00000000" w:rsidRDefault="00000000" w:rsidRPr="00000000" w14:paraId="00000017">
            <w:pPr>
              <w:numPr>
                <w:ilvl w:val="0"/>
                <w:numId w:val="4"/>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bảo đảm yêu cầu thì xác nhận và </w:t>
            </w:r>
            <w:r w:rsidDel="00000000" w:rsidR="00000000" w:rsidRPr="00000000">
              <w:rPr>
                <w:rFonts w:ascii="Times New Roman" w:cs="Times New Roman" w:eastAsia="Times New Roman" w:hAnsi="Times New Roman"/>
                <w:b w:val="1"/>
                <w:bCs w:val="1"/>
                <w:sz w:val="28"/>
                <w:szCs w:val="28"/>
                <w:rtl w:val="0"/>
              </w:rPr>
              <w:t xml:space="preserve">chuyển bước 4</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Ban Quản lý khu thực hiện kiểm tra thông tin, nội dung và số liệu của báo cáo. </w:t>
            </w:r>
          </w:p>
          <w:p w:rsidR="00000000" w:rsidDel="00000000" w:rsidP="00000000" w:rsidRDefault="00000000" w:rsidRPr="00000000" w14:paraId="0000001C">
            <w:pPr>
              <w:numPr>
                <w:ilvl w:val="0"/>
                <w:numId w:val="1"/>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7 bổ sung/chỉnh sửa, hoàn thiện; </w:t>
            </w:r>
            <w:r w:rsidDel="00000000" w:rsidR="00000000" w:rsidRPr="00000000">
              <w:rPr>
                <w:rtl w:val="0"/>
              </w:rPr>
            </w:r>
          </w:p>
          <w:p w:rsidR="00000000" w:rsidDel="00000000" w:rsidP="00000000" w:rsidRDefault="00000000" w:rsidRPr="00000000" w14:paraId="0000001D">
            <w:pPr>
              <w:numPr>
                <w:ilvl w:val="0"/>
                <w:numId w:val="1"/>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UBND Tỉnh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UBND Tỉnh thực hiện kiểm tra thông tin, nội dung và số liệu của báo cáo. </w:t>
            </w:r>
          </w:p>
          <w:p w:rsidR="00000000" w:rsidDel="00000000" w:rsidP="00000000" w:rsidRDefault="00000000" w:rsidRPr="00000000" w14:paraId="00000022">
            <w:pPr>
              <w:numPr>
                <w:ilvl w:val="0"/>
                <w:numId w:val="1"/>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1 chỉnh sửa, hoàn thiện; </w:t>
            </w:r>
            <w:r w:rsidDel="00000000" w:rsidR="00000000" w:rsidRPr="00000000">
              <w:rPr>
                <w:rtl w:val="0"/>
              </w:rPr>
            </w:r>
          </w:p>
          <w:p w:rsidR="00000000" w:rsidDel="00000000" w:rsidP="00000000" w:rsidRDefault="00000000" w:rsidRPr="00000000" w14:paraId="00000023">
            <w:pPr>
              <w:numPr>
                <w:ilvl w:val="0"/>
                <w:numId w:val="1"/>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tổng hợp báo cáo.</w:t>
            </w:r>
          </w:p>
          <w:tbl>
            <w:tblPr>
              <w:tblStyle w:val="Table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6">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7">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2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hoặc Lãnh đạo Cục Đầu tư nước ngoài thực hiện kiểm tra thông tin và tính hợp lệ, sự đầy đủ:</w:t>
            </w:r>
          </w:p>
          <w:p w:rsidR="00000000" w:rsidDel="00000000" w:rsidP="00000000" w:rsidRDefault="00000000" w:rsidRPr="00000000" w14:paraId="0000002B">
            <w:pPr>
              <w:numPr>
                <w:ilvl w:val="0"/>
                <w:numId w:val="3"/>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chưa đáp ứng yêu cầu, thiếu thông tin, chuyển bước 6.1 hoặc 6.2</w:t>
            </w:r>
          </w:p>
          <w:p w:rsidR="00000000" w:rsidDel="00000000" w:rsidP="00000000" w:rsidRDefault="00000000" w:rsidRPr="00000000" w14:paraId="0000002C">
            <w:pPr>
              <w:numPr>
                <w:ilvl w:val="0"/>
                <w:numId w:val="3"/>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đủ điều kiện,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3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03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có thể thao tác tự chỉnh sửa trên hệ thống. Sau khi hoàn thành,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3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03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lập yêu cầu chỉnh sửa trên hệ thống, nêu rõ nội dung cần chỉnh sửa, hoàn thiện và gửi lại cho Cán bộ chuyên môn Ban Quản lý khu để thực hiện bổ sung. Chuyển bước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sung/Chỉnh sửa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Cán bộ chuyên môn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tiếp nhận yêu cầu bổ sung, thực hiện chỉnh sửa, bổ sung thông tin hoặc tệp đính kèm theo yêu cầu và nộp lại báo cáo trên hệ thống, quay lại bước 2.</w:t>
            </w:r>
          </w:p>
        </w:tc>
      </w:tr>
    </w:tbl>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rFonts w:ascii="Calibri" w:cs="Calibri" w:eastAsia="Calibri" w:hAnsi="Calibri"/>
    </w:rPr>
    <w:tblPr>
      <w:tblStyleRowBandSize w:val="1"/>
      <w:tblStyleColBandSize w:val="1"/>
      <w:tblCellMar>
        <w:top w:w="108.0" w:type="dxa"/>
        <w:left w:w="108.0" w:type="dxa"/>
        <w:bottom w:w="108.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