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r>
        <w:rPr>
          <w:lang w:val="en-US"/>
        </w:rPr>
        <w:t>Data Format for Wind Energy Applications</w:t>
      </w:r>
    </w:p>
    <w:p w14:paraId="4D80A824" w14:textId="70CCEC9A" w:rsidR="00142642" w:rsidRPr="007B0433" w:rsidRDefault="00142642" w:rsidP="00142642">
      <w:pPr>
        <w:pStyle w:val="Heading2"/>
        <w:numPr>
          <w:ilvl w:val="0"/>
          <w:numId w:val="2"/>
        </w:numPr>
        <w:rPr>
          <w:lang w:val="en-US"/>
        </w:rPr>
      </w:pPr>
      <w:r w:rsidRPr="007B0433">
        <w:rPr>
          <w:lang w:val="en-US"/>
        </w:rPr>
        <w:t>Introduction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r>
        <w:rPr>
          <w:lang w:val="en-US"/>
        </w:rPr>
        <w:t>Organizing data</w:t>
      </w:r>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r>
        <w:t>Formatting Data for Programming Languages</w:t>
      </w:r>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lastRenderedPageBreak/>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r w:rsidRPr="00A75373">
        <w:t>Best Practices for Data Formatting</w:t>
      </w:r>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50D0E2C0" w:rsidR="00011FEA" w:rsidRDefault="00011FEA" w:rsidP="00011FEA">
      <w:pPr>
        <w:spacing w:after="0"/>
      </w:pPr>
      <w:r>
        <w:t>Example:</w:t>
      </w:r>
      <w:r w:rsidR="00553136">
        <w:t xml:space="preserve"> </w:t>
      </w:r>
    </w:p>
    <w:p w14:paraId="794E3E3F" w14:textId="77777777" w:rsidR="002C276C" w:rsidRDefault="002C276C" w:rsidP="000E6259">
      <w:pPr>
        <w:spacing w:after="0"/>
      </w:pPr>
      <w:r>
        <w:lastRenderedPageBreak/>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6F9AE8D1" w:rsidR="00490F2B" w:rsidRDefault="00490F2B" w:rsidP="00490F2B">
      <w:pPr>
        <w:spacing w:after="0"/>
      </w:pPr>
      <w:r>
        <w:t>2022</w:t>
      </w:r>
      <w:r w:rsidRPr="00A75373">
        <w:t>-01-01 00:00:00,</w:t>
      </w:r>
      <w:r w:rsidR="00553136">
        <w:t>0</w:t>
      </w:r>
      <w:r w:rsidRPr="00A75373">
        <w:t>,</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lastRenderedPageBreak/>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72F32841" w14:textId="0FE13CDB"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09BBDFBB" w:rsidR="00F076E5" w:rsidRDefault="00D52B7C" w:rsidP="00011FEA">
      <w:pPr>
        <w:spacing w:after="0"/>
      </w:pPr>
      <w:r w:rsidRPr="00D52B7C">
        <w:t xml:space="preserve">Special characters and spaces can cause issues in data parsing and processing, leading to errors and misinterpretations. By adhering to these naming conventions, you can maintain </w:t>
      </w:r>
      <w:r w:rsidRPr="00D52B7C">
        <w:lastRenderedPageBreak/>
        <w:t>the integrity of your data and facilitate easier data handling and analysis. For example, instead of using a field name like "Wind speed (m/s)," use "Wind_speed_mps" or "windSpeedMps" to ensure compatibility and readability</w:t>
      </w:r>
      <w:r w:rsidR="00530219" w:rsidRPr="00530219">
        <w:t>.</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lastRenderedPageBreak/>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130A2DA4" w14:textId="3FC3B057" w:rsidR="00563E2A" w:rsidRDefault="00C03E8E" w:rsidP="00011FEA">
      <w:pPr>
        <w:spacing w:after="0"/>
      </w:pPr>
      <w:r w:rsidRPr="00C03E8E">
        <w:t>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For instance, instead of using color to highlight rows with errors, create a new column labeled "Status" and use descriptive entries such as "checked" or "unchecked" to indicate the status.</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5DE6F8ED" w:rsidR="00DD7A9C"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2D82661B" w:rsidR="007A54FB"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For instance, instead of combining failure status and component details within a single cell, use separate columns for each attribute.</w:t>
      </w:r>
      <w:r>
        <w:t xml:space="preserve"> </w:t>
      </w:r>
    </w:p>
    <w:p w14:paraId="0DFBC2D3" w14:textId="266AB215" w:rsidR="00011FEA" w:rsidRDefault="00011FEA" w:rsidP="007A54FB">
      <w:pPr>
        <w:spacing w:after="0"/>
      </w:pPr>
      <w:r>
        <w:lastRenderedPageBreak/>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54324179" w14:textId="3757C334" w:rsidR="00227A63" w:rsidRDefault="00227A63" w:rsidP="007A54FB">
      <w:pPr>
        <w:spacing w:after="0"/>
      </w:pPr>
      <w:r w:rsidRPr="00227A63">
        <w:t>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35BFC0C4" w14:textId="77777777" w:rsidR="00227A63" w:rsidRDefault="00227A63" w:rsidP="00227A63">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r w:rsidRPr="00CD6173">
        <w:t>Exporting Data</w:t>
      </w:r>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lastRenderedPageBreak/>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r>
        <w:t>Quality check</w:t>
      </w:r>
    </w:p>
    <w:p w14:paraId="5EDC3E2A" w14:textId="77777777" w:rsidR="007D5D25" w:rsidRPr="00A808DB" w:rsidRDefault="007D5D25" w:rsidP="007D5D25">
      <w:pPr>
        <w:pStyle w:val="Heading3"/>
        <w:numPr>
          <w:ilvl w:val="1"/>
          <w:numId w:val="2"/>
        </w:numPr>
      </w:pPr>
      <w:r w:rsidRPr="00A808DB">
        <w:t>Data Management and Organization</w:t>
      </w:r>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 xml:space="preserve">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w:t>
      </w:r>
      <w:r w:rsidR="007D5D25">
        <w:lastRenderedPageBreak/>
        <w:t>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r w:rsidRPr="00A808DB">
        <w:t>Metadata and Documentation</w:t>
      </w:r>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r w:rsidRPr="00C4486C">
        <w:rPr>
          <w:rStyle w:val="Strong"/>
          <w:b w:val="0"/>
          <w:bCs w:val="0"/>
        </w:rPr>
        <w:t>Data Storage and Preservation</w:t>
      </w:r>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lastRenderedPageBreak/>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r w:rsidRPr="007A2AD5">
        <w:rPr>
          <w:rStyle w:val="Strong"/>
          <w:b w:val="0"/>
          <w:bCs w:val="0"/>
        </w:rPr>
        <w:t>Data Quality Assurance</w:t>
      </w:r>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lastRenderedPageBreak/>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r>
        <w:t>Data Sharing Protocol</w:t>
      </w:r>
    </w:p>
    <w:p w14:paraId="606E4F97" w14:textId="1ED4747A" w:rsidR="001D5E3A" w:rsidRDefault="001D5E3A" w:rsidP="001D5E3A">
      <w:pPr>
        <w:pStyle w:val="Heading3"/>
        <w:numPr>
          <w:ilvl w:val="1"/>
          <w:numId w:val="2"/>
        </w:numPr>
        <w:rPr>
          <w:rStyle w:val="Strong"/>
          <w:b w:val="0"/>
          <w:bCs w:val="0"/>
        </w:rPr>
      </w:pPr>
      <w:r w:rsidRPr="001D5E3A">
        <w:rPr>
          <w:rStyle w:val="Strong"/>
          <w:b w:val="0"/>
          <w:bCs w:val="0"/>
        </w:rPr>
        <w:t>Data Sharing and Access</w:t>
      </w:r>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t>Project</w:t>
      </w:r>
      <w:r>
        <w:t xml:space="preserve"> </w:t>
      </w:r>
      <w:r>
        <w:t>Websites:</w:t>
      </w:r>
    </w:p>
    <w:p w14:paraId="6385C394" w14:textId="4DD0D59F" w:rsidR="00287BB4" w:rsidRDefault="00287BB4" w:rsidP="00287BB4">
      <w:r>
        <w:t>It</w:t>
      </w:r>
      <w:r>
        <w:t xml:space="preserve">’s </w:t>
      </w:r>
      <w:r>
        <w:t xml:space="preserve">al </w:t>
      </w:r>
      <w:r>
        <w:t>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lastRenderedPageBreak/>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40AE1AD7" w14:textId="4B4B0B07" w:rsidR="00F705D8" w:rsidRDefault="00F705D8" w:rsidP="00797133">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w:t>
      </w:r>
      <w:r>
        <w:t xml:space="preserve"> </w:t>
      </w:r>
      <w:r>
        <w:t>FAIR Data Principles:</w:t>
      </w:r>
    </w:p>
    <w:p w14:paraId="72488AC3" w14:textId="77777777" w:rsidR="00F705D8" w:rsidRDefault="00F705D8" w:rsidP="00F705D8"/>
    <w:p w14:paraId="640040D1" w14:textId="77777777" w:rsidR="00F705D8" w:rsidRDefault="00F705D8" w:rsidP="00F705D8">
      <w:pPr>
        <w:pStyle w:val="ListParagraph"/>
        <w:numPr>
          <w:ilvl w:val="0"/>
          <w:numId w:val="23"/>
        </w:numPr>
      </w:pPr>
      <w:r>
        <w:lastRenderedPageBreak/>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Common licenses include Creative Commons licenses, which allow users to share and adapt the data with proper attribution.</w:t>
      </w:r>
      <w:r>
        <w:t xml:space="preserve">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CC BY-NC (Attribution-NonCommercial): Allows others to remix, adapt, and build upon the data non-commercially, and although their new works must also 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lastRenderedPageBreak/>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r w:rsidRPr="00847206">
        <w:rPr>
          <w:rStyle w:val="Strong"/>
          <w:b w:val="0"/>
          <w:bCs w:val="0"/>
        </w:rPr>
        <w:t>Ethical and Legal Considerations</w:t>
      </w:r>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lastRenderedPageBreak/>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r w:rsidRPr="00847206">
        <w:rPr>
          <w:rStyle w:val="Strong"/>
          <w:b w:val="0"/>
          <w:bCs w:val="0"/>
        </w:rPr>
        <w:t>Roles and Responsibilities</w:t>
      </w:r>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r w:rsidRPr="00847206">
        <w:rPr>
          <w:rStyle w:val="Strong"/>
          <w:b w:val="0"/>
          <w:bCs w:val="0"/>
        </w:rPr>
        <w:t>Data Sharing Workflow</w:t>
      </w:r>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r w:rsidRPr="00DD2F60">
        <w:rPr>
          <w:rStyle w:val="Strong"/>
          <w:b w:val="0"/>
          <w:bCs w:val="0"/>
        </w:rPr>
        <w:t>Support and Training</w:t>
      </w:r>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lastRenderedPageBreak/>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r w:rsidRPr="00CA0561">
        <w:rPr>
          <w:rStyle w:val="Strong"/>
          <w:b w:val="0"/>
          <w:bCs w:val="0"/>
        </w:rPr>
        <w:t>Monitoring and Evaluation</w:t>
      </w:r>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r>
        <w:t>Git for controlling version</w:t>
      </w:r>
    </w:p>
    <w:p w14:paraId="5B671671" w14:textId="02E06558" w:rsidR="00D83AB0" w:rsidRDefault="00D83AB0" w:rsidP="00D83AB0">
      <w:r>
        <w:t>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7B5E4952" w14:textId="77777777"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6B2FCC4B" w14:textId="77777777" w:rsidR="00404123" w:rsidRDefault="00404123" w:rsidP="00404123"/>
    <w:p w14:paraId="2DCD9430" w14:textId="1F1F2741" w:rsidR="00404123" w:rsidRDefault="00404123" w:rsidP="00404123">
      <w:r>
        <w:lastRenderedPageBreak/>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 xml:space="preserve">Git's ability to track changes, revert to previous states, and maintain a detailed history of the project, including who made each change and why, makes it an invaluable tool for both individual developers and large teams. Its robustness and efficiency have made it the version control system of choice for </w:t>
      </w:r>
      <w:r>
        <w:t>reserachers, engineers,</w:t>
      </w:r>
      <w:r>
        <w:t xml:space="preserve"> and open-source projects.</w:t>
      </w:r>
    </w:p>
    <w:p w14:paraId="6C6358D7" w14:textId="04990CF3" w:rsidR="007B172C" w:rsidRDefault="007B172C" w:rsidP="007B172C">
      <w:pPr>
        <w:pStyle w:val="Heading3"/>
        <w:numPr>
          <w:ilvl w:val="1"/>
          <w:numId w:val="2"/>
        </w:numPr>
      </w:pPr>
      <w:r>
        <w:t>Git settings</w:t>
      </w:r>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985242">
      <w:pPr>
        <w:pStyle w:val="Heading3"/>
        <w:numPr>
          <w:ilvl w:val="1"/>
          <w:numId w:val="2"/>
        </w:numPr>
        <w:rPr>
          <w:rFonts w:eastAsia="Times New Roman"/>
        </w:rPr>
      </w:pPr>
      <w:r w:rsidRPr="00985242">
        <w:rPr>
          <w:rFonts w:eastAsia="Times New Roman"/>
        </w:rPr>
        <w:t>G</w:t>
      </w:r>
      <w:r>
        <w:rPr>
          <w:rFonts w:eastAsia="Times New Roman"/>
        </w:rPr>
        <w:t>it help manual</w:t>
      </w:r>
    </w:p>
    <w:p w14:paraId="11069270" w14:textId="77777777" w:rsid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lastRenderedPageBreak/>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r>
        <w:t xml:space="preserve">Creating a </w:t>
      </w:r>
      <w:r>
        <w:t xml:space="preserve">Git </w:t>
      </w:r>
      <w:r>
        <w:t>Repository</w:t>
      </w:r>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 xml:space="preserve">Once Git is configured, we can start using it. </w:t>
      </w:r>
      <w:r w:rsidRPr="00E65384">
        <w:rPr>
          <w:rFonts w:asciiTheme="minorHAnsi" w:eastAsiaTheme="minorHAnsi" w:hAnsiTheme="minorHAnsi" w:cstheme="minorBidi"/>
          <w:kern w:val="2"/>
          <w:sz w:val="24"/>
          <w:szCs w:val="24"/>
          <w14:ligatures w14:val="standardContextual"/>
        </w:rPr>
        <w:t>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w:t>
      </w:r>
      <w:r w:rsidRPr="00E65384">
        <w:rPr>
          <w:rFonts w:asciiTheme="minorHAnsi" w:eastAsiaTheme="minorHAnsi" w:hAnsiTheme="minorHAnsi" w:cstheme="minorBidi"/>
          <w:kern w:val="2"/>
          <w:sz w:val="24"/>
          <w:szCs w:val="24"/>
          <w14:ligatures w14:val="standardContextual"/>
        </w:rPr>
        <w:t xml:space="preserve"> </w:t>
      </w:r>
      <w:r w:rsidRPr="00E65384">
        <w:rPr>
          <w:rFonts w:asciiTheme="minorHAnsi" w:eastAsiaTheme="minorHAnsi" w:hAnsiTheme="minorHAnsi" w:cstheme="minorBidi"/>
          <w:kern w:val="2"/>
          <w:sz w:val="24"/>
          <w:szCs w:val="24"/>
          <w14:ligatures w14:val="standardContextual"/>
        </w:rPr>
        <w:t>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lastRenderedPageBreak/>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783793AF" w:rsidR="00071A44" w:rsidRDefault="00071A44" w:rsidP="00071A44">
      <w:pPr>
        <w:pStyle w:val="Heading2"/>
        <w:numPr>
          <w:ilvl w:val="1"/>
          <w:numId w:val="2"/>
        </w:numPr>
        <w:rPr>
          <w:rFonts w:eastAsia="Times New Roman"/>
        </w:rPr>
      </w:pPr>
      <w:r w:rsidRPr="00071A44">
        <w:rPr>
          <w:rFonts w:eastAsia="Times New Roman"/>
        </w:rPr>
        <w:t>Remotes in GitHub</w:t>
      </w:r>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w:t>
      </w:r>
      <w:r>
        <w:t xml:space="preserve"> </w:t>
      </w:r>
      <w:r>
        <w:t>Select "New repository" from the dropdown menu.</w:t>
      </w:r>
    </w:p>
    <w:p w14:paraId="539C0AE3" w14:textId="357F261B" w:rsidR="00071A44" w:rsidRDefault="00071A44" w:rsidP="00071A44">
      <w:pPr>
        <w:pStyle w:val="ListParagraph"/>
        <w:numPr>
          <w:ilvl w:val="0"/>
          <w:numId w:val="29"/>
        </w:numPr>
      </w:pPr>
      <w:r>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t>T</w:t>
      </w:r>
      <w:r>
        <w: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lastRenderedPageBreak/>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65DD1775" w:rsidR="001D5E3A" w:rsidRDefault="00232C37" w:rsidP="00232C37">
      <w:pPr>
        <w:pStyle w:val="Heading2"/>
        <w:numPr>
          <w:ilvl w:val="1"/>
          <w:numId w:val="2"/>
        </w:numPr>
      </w:pPr>
      <w:r>
        <w:t>Connect Local to Remote Repository</w:t>
      </w:r>
    </w:p>
    <w:p w14:paraId="7E4B5FAA" w14:textId="77777777" w:rsidR="00232C37" w:rsidRPr="00232C37" w:rsidRDefault="00232C37" w:rsidP="00232C37">
      <w:r w:rsidRPr="00232C37">
        <w:t>To connect your local Git repository to the remote repository on GitHub, follow these steps:</w:t>
      </w:r>
    </w:p>
    <w:p w14:paraId="2CA1EC2D" w14:textId="77777777" w:rsidR="00232C37" w:rsidRPr="00232C37" w:rsidRDefault="00232C37" w:rsidP="00F44548">
      <w:pPr>
        <w:pStyle w:val="ListParagraph"/>
        <w:numPr>
          <w:ilvl w:val="0"/>
          <w:numId w:val="32"/>
        </w:numPr>
      </w:pPr>
      <w:r w:rsidRPr="00232C37">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F44548">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F44548">
      <w:pPr>
        <w:numPr>
          <w:ilvl w:val="0"/>
          <w:numId w:val="31"/>
        </w:numPr>
        <w:spacing w:before="100" w:beforeAutospacing="1"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232C37">
      <w:pPr>
        <w:spacing w:before="100" w:beforeAutospacing="1" w:after="100" w:afterAutospacing="1" w:line="240" w:lineRule="auto"/>
        <w:ind w:left="720"/>
      </w:pPr>
      <w:r w:rsidRPr="00232C37">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F44548">
      <w:pPr>
        <w:numPr>
          <w:ilvl w:val="0"/>
          <w:numId w:val="31"/>
        </w:numPr>
        <w:spacing w:before="100" w:beforeAutospacing="1"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2B2E382E" w:rsidR="006A5A52" w:rsidRDefault="00C211A5" w:rsidP="00C211A5">
      <w:pPr>
        <w:pStyle w:val="Heading2"/>
        <w:numPr>
          <w:ilvl w:val="1"/>
          <w:numId w:val="2"/>
        </w:numPr>
      </w:pPr>
      <w:r w:rsidRPr="00C211A5">
        <w:lastRenderedPageBreak/>
        <w:t>SSH background and setups</w:t>
      </w:r>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199B8400" w:rsidR="00C211A5" w:rsidRPr="00C211A5" w:rsidRDefault="00C211A5" w:rsidP="00C211A5">
      <w:pPr>
        <w:pStyle w:val="Heading3"/>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DC1229F" w:rsidR="00C211A5" w:rsidRPr="00C211A5" w:rsidRDefault="00C211A5" w:rsidP="00C211A5">
      <w:pPr>
        <w:pStyle w:val="Heading3"/>
        <w:numPr>
          <w:ilvl w:val="2"/>
          <w:numId w:val="2"/>
        </w:numPr>
        <w:rPr>
          <w:rStyle w:val="Strong"/>
          <w:b w:val="0"/>
          <w:bCs w:val="0"/>
        </w:rPr>
      </w:pPr>
      <w:r w:rsidRPr="00C211A5">
        <w:rPr>
          <w:rStyle w:val="Strong"/>
          <w:b w:val="0"/>
          <w:bCs w:val="0"/>
        </w:rPr>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t>Save the SSH Keys:</w:t>
      </w:r>
      <w:r w:rsidRPr="00C211A5">
        <w:rPr>
          <w:rStyle w:val="apple-converted-space"/>
        </w:rPr>
        <w:t> </w:t>
      </w:r>
    </w:p>
    <w:p w14:paraId="4700703A" w14:textId="1B2F1E96" w:rsidR="00C211A5" w:rsidRDefault="00C211A5" w:rsidP="00C211A5">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w:t>
      </w:r>
      <w:r>
        <w:rPr>
          <w:rStyle w:val="HTMLCode"/>
          <w:rFonts w:eastAsiaTheme="majorEastAsia"/>
          <w:color w:val="000000"/>
        </w:rPr>
        <w:t>/c/Users/YourUsername/.ssh/id_ed25519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lastRenderedPageBreak/>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t>This confirms that your SSH keys are correctly configured, allowing you to securely push and pull from your GitHub repositories. With SSH setup complete, you're ready to work with your remote repositories securely.</w:t>
      </w:r>
    </w:p>
    <w:p w14:paraId="2BD0EBAB" w14:textId="77777777" w:rsidR="00C211A5" w:rsidRPr="00C211A5" w:rsidRDefault="00C211A5" w:rsidP="00C211A5"/>
    <w:sectPr w:rsidR="00C211A5" w:rsidRPr="00C21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755DC"/>
    <w:multiLevelType w:val="hybridMultilevel"/>
    <w:tmpl w:val="318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29"/>
  </w:num>
  <w:num w:numId="2" w16cid:durableId="721447116">
    <w:abstractNumId w:val="31"/>
  </w:num>
  <w:num w:numId="3" w16cid:durableId="977418768">
    <w:abstractNumId w:val="12"/>
  </w:num>
  <w:num w:numId="4" w16cid:durableId="232592562">
    <w:abstractNumId w:val="7"/>
  </w:num>
  <w:num w:numId="5" w16cid:durableId="816651814">
    <w:abstractNumId w:val="4"/>
  </w:num>
  <w:num w:numId="6" w16cid:durableId="132984875">
    <w:abstractNumId w:val="10"/>
  </w:num>
  <w:num w:numId="7" w16cid:durableId="1148397878">
    <w:abstractNumId w:val="11"/>
  </w:num>
  <w:num w:numId="8" w16cid:durableId="369234109">
    <w:abstractNumId w:val="20"/>
  </w:num>
  <w:num w:numId="9" w16cid:durableId="2000882888">
    <w:abstractNumId w:val="1"/>
  </w:num>
  <w:num w:numId="10" w16cid:durableId="1375739337">
    <w:abstractNumId w:val="22"/>
  </w:num>
  <w:num w:numId="11" w16cid:durableId="1102729324">
    <w:abstractNumId w:val="3"/>
  </w:num>
  <w:num w:numId="12" w16cid:durableId="1396052363">
    <w:abstractNumId w:val="13"/>
  </w:num>
  <w:num w:numId="13" w16cid:durableId="958414437">
    <w:abstractNumId w:val="26"/>
  </w:num>
  <w:num w:numId="14" w16cid:durableId="899024334">
    <w:abstractNumId w:val="21"/>
  </w:num>
  <w:num w:numId="15" w16cid:durableId="1321080220">
    <w:abstractNumId w:val="16"/>
  </w:num>
  <w:num w:numId="16" w16cid:durableId="372771178">
    <w:abstractNumId w:val="25"/>
  </w:num>
  <w:num w:numId="17" w16cid:durableId="931469268">
    <w:abstractNumId w:val="18"/>
  </w:num>
  <w:num w:numId="18" w16cid:durableId="401831346">
    <w:abstractNumId w:val="2"/>
  </w:num>
  <w:num w:numId="19" w16cid:durableId="1818255049">
    <w:abstractNumId w:val="5"/>
  </w:num>
  <w:num w:numId="20" w16cid:durableId="1082411433">
    <w:abstractNumId w:val="8"/>
  </w:num>
  <w:num w:numId="21" w16cid:durableId="2019888463">
    <w:abstractNumId w:val="14"/>
  </w:num>
  <w:num w:numId="22" w16cid:durableId="65761686">
    <w:abstractNumId w:val="24"/>
  </w:num>
  <w:num w:numId="23" w16cid:durableId="602542355">
    <w:abstractNumId w:val="17"/>
  </w:num>
  <w:num w:numId="24" w16cid:durableId="122311057">
    <w:abstractNumId w:val="23"/>
  </w:num>
  <w:num w:numId="25" w16cid:durableId="2108428986">
    <w:abstractNumId w:val="9"/>
  </w:num>
  <w:num w:numId="26" w16cid:durableId="1204439444">
    <w:abstractNumId w:val="27"/>
  </w:num>
  <w:num w:numId="27" w16cid:durableId="103426594">
    <w:abstractNumId w:val="0"/>
  </w:num>
  <w:num w:numId="28" w16cid:durableId="1007636229">
    <w:abstractNumId w:val="19"/>
  </w:num>
  <w:num w:numId="29" w16cid:durableId="1548562127">
    <w:abstractNumId w:val="30"/>
  </w:num>
  <w:num w:numId="30" w16cid:durableId="631906697">
    <w:abstractNumId w:val="6"/>
  </w:num>
  <w:num w:numId="31" w16cid:durableId="2030446515">
    <w:abstractNumId w:val="32"/>
  </w:num>
  <w:num w:numId="32" w16cid:durableId="453598900">
    <w:abstractNumId w:val="28"/>
  </w:num>
  <w:num w:numId="33" w16cid:durableId="10104448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51A81"/>
    <w:rsid w:val="00063226"/>
    <w:rsid w:val="0006688D"/>
    <w:rsid w:val="00071A44"/>
    <w:rsid w:val="000A52AB"/>
    <w:rsid w:val="000D7F92"/>
    <w:rsid w:val="000E6259"/>
    <w:rsid w:val="00111842"/>
    <w:rsid w:val="001315B7"/>
    <w:rsid w:val="00142642"/>
    <w:rsid w:val="00181ED9"/>
    <w:rsid w:val="00197792"/>
    <w:rsid w:val="001D5E3A"/>
    <w:rsid w:val="00227A63"/>
    <w:rsid w:val="00232C37"/>
    <w:rsid w:val="00287BB4"/>
    <w:rsid w:val="0029094E"/>
    <w:rsid w:val="002A5C37"/>
    <w:rsid w:val="002C276C"/>
    <w:rsid w:val="002D627D"/>
    <w:rsid w:val="00302932"/>
    <w:rsid w:val="0032435A"/>
    <w:rsid w:val="003729EE"/>
    <w:rsid w:val="003927E2"/>
    <w:rsid w:val="003D5F1F"/>
    <w:rsid w:val="003E0260"/>
    <w:rsid w:val="003E0644"/>
    <w:rsid w:val="003F582E"/>
    <w:rsid w:val="00404123"/>
    <w:rsid w:val="00430041"/>
    <w:rsid w:val="00490F2B"/>
    <w:rsid w:val="004C66C2"/>
    <w:rsid w:val="004E4060"/>
    <w:rsid w:val="00526A22"/>
    <w:rsid w:val="00530219"/>
    <w:rsid w:val="00550318"/>
    <w:rsid w:val="00553136"/>
    <w:rsid w:val="00563E2A"/>
    <w:rsid w:val="00584FD1"/>
    <w:rsid w:val="005C336A"/>
    <w:rsid w:val="005D089D"/>
    <w:rsid w:val="005D5E02"/>
    <w:rsid w:val="005F5936"/>
    <w:rsid w:val="00642807"/>
    <w:rsid w:val="0065066C"/>
    <w:rsid w:val="006937A5"/>
    <w:rsid w:val="006A5A52"/>
    <w:rsid w:val="006D67B2"/>
    <w:rsid w:val="00722794"/>
    <w:rsid w:val="0073275B"/>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D662C"/>
    <w:rsid w:val="00906761"/>
    <w:rsid w:val="00915FCB"/>
    <w:rsid w:val="00921FBA"/>
    <w:rsid w:val="00985242"/>
    <w:rsid w:val="00A24787"/>
    <w:rsid w:val="00A75373"/>
    <w:rsid w:val="00A808DB"/>
    <w:rsid w:val="00AB7DBA"/>
    <w:rsid w:val="00AF7645"/>
    <w:rsid w:val="00B56B8F"/>
    <w:rsid w:val="00B71F77"/>
    <w:rsid w:val="00BE7585"/>
    <w:rsid w:val="00C03E8E"/>
    <w:rsid w:val="00C211A5"/>
    <w:rsid w:val="00C4486C"/>
    <w:rsid w:val="00C56007"/>
    <w:rsid w:val="00C56D64"/>
    <w:rsid w:val="00C827B0"/>
    <w:rsid w:val="00CA0561"/>
    <w:rsid w:val="00CA0CD4"/>
    <w:rsid w:val="00CA56E1"/>
    <w:rsid w:val="00CA7957"/>
    <w:rsid w:val="00CD6173"/>
    <w:rsid w:val="00CF0503"/>
    <w:rsid w:val="00D045B1"/>
    <w:rsid w:val="00D30FDD"/>
    <w:rsid w:val="00D52B7C"/>
    <w:rsid w:val="00D83AB0"/>
    <w:rsid w:val="00DB6597"/>
    <w:rsid w:val="00DC477A"/>
    <w:rsid w:val="00DD2F60"/>
    <w:rsid w:val="00DD7A9C"/>
    <w:rsid w:val="00E65384"/>
    <w:rsid w:val="00E86105"/>
    <w:rsid w:val="00EC7C37"/>
    <w:rsid w:val="00ED032A"/>
    <w:rsid w:val="00F076E5"/>
    <w:rsid w:val="00F17CB5"/>
    <w:rsid w:val="00F44548"/>
    <w:rsid w:val="00F64D01"/>
    <w:rsid w:val="00F705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semiHidden/>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23</Pages>
  <Words>7022</Words>
  <Characters>40029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38</cp:revision>
  <dcterms:created xsi:type="dcterms:W3CDTF">2024-06-25T14:23:00Z</dcterms:created>
  <dcterms:modified xsi:type="dcterms:W3CDTF">2024-06-26T14:09:00Z</dcterms:modified>
</cp:coreProperties>
</file>