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ADR 004 Phạm vi lore Elden Ring</w:t>
      </w:r>
    </w:p>
    <w:p>
      <w:pPr>
        <w:spacing w:before="20" w:after="60"/>
      </w:pPr>
      <w:r>
        <w:t>Ngày: 2026-10-17. Trạng thái: Chấp nhận theo yêu cầu nhóm 4 Hollows.</w:t>
      </w:r>
    </w:p>
    <w:p>
      <w:pPr>
        <w:pStyle w:val="Heading1"/>
      </w:pPr>
      <w:r>
        <w:t>Quyết định</w:t>
      </w:r>
    </w:p>
    <w:p>
      <w:pPr>
        <w:spacing w:before="20" w:after="60"/>
      </w:pPr>
      <w:r>
        <w:t xml:space="preserve">IndexBeast tập trung trả lời câu hỏi về lore </w:t>
      </w:r>
      <w:r>
        <w:rPr>
          <w:b/>
        </w:rPr>
        <w:t>Elden Ring base game</w:t>
      </w:r>
      <w:r>
        <w:t xml:space="preserve"> bằng tiếng Việt và tiếng Anh.</w:t>
      </w:r>
    </w:p>
    <w:p>
      <w:pPr>
        <w:pStyle w:val="Heading1"/>
      </w:pPr>
      <w:r>
        <w:t>Áp dụng</w:t>
      </w:r>
    </w:p>
    <w:p>
      <w:pPr>
        <w:pStyle w:val="ListBullet"/>
      </w:pPr>
      <w:r>
        <w:t>Ingestion, retrieval và web fallback chỉ xử lý dữ liệu lore thuộc base game.</w:t>
      </w:r>
    </w:p>
    <w:p>
      <w:pPr>
        <w:pStyle w:val="ListBullet"/>
      </w:pPr>
      <w:r>
        <w:t xml:space="preserve">Chunk được gán </w:t>
      </w:r>
      <w:r>
        <w:rPr>
          <w:rFonts w:ascii="Consolas" w:hAnsi="Consolas"/>
          <w:sz w:val="19"/>
        </w:rPr>
        <w:t>game_scope=base</w:t>
      </w:r>
      <w:r>
        <w:t>; dữ liệu cần được rà soát theo trang và section trước khi index.</w:t>
      </w:r>
    </w:p>
    <w:p>
      <w:pPr>
        <w:pStyle w:val="ListBullet"/>
      </w:pPr>
      <w:r>
        <w:t>Golden set dùng câu hỏi và nguồn tham chiếu thuộc phạm vi này.</w:t>
      </w:r>
    </w:p>
    <w:p>
      <w:pPr>
        <w:pStyle w:val="ListBullet"/>
      </w:pPr>
      <w:r>
        <w:t>README, SRS, techstack, kiến trúc và sprint plan dùng cùng phạm vi.</w:t>
      </w:r>
    </w:p>
    <w:p>
      <w:pPr>
        <w:pStyle w:val="Heading1"/>
      </w:pPr>
      <w:r>
        <w:t>Lý do và hệ quả</w:t>
      </w:r>
    </w:p>
    <w:p>
      <w:pPr>
        <w:spacing w:before="20" w:after="60"/>
      </w:pPr>
      <w:r>
        <w:t>Phạm vi dữ liệu rõ giúp nhóm tập trung thời gian xây pipeline RAG và đánh giá chất lượng trong môn NLP. Các module hiện vẫn là khung xương; quyết định này chưa đồng nghĩa mọi bộ lọc ingestion đã được triển khai.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