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– LUỒNG XỬ LÝ TỪNG CHỨC NĂNG</w:t>
      </w:r>
    </w:p>
    <w:p>
      <w:r>
        <w:rPr>
          <w:b/>
        </w:rPr>
        <w:t>Phiên bản:</w:t>
      </w:r>
      <w:r>
        <w:t xml:space="preserve"> 1.0 | Căn cứ Master v1.5. Đánh dấu rõ điểm người dùng xác nhận và điểm thao tác DB transaction.</w:t>
      </w:r>
    </w:p>
    <w:p>
      <w:pPr>
        <w:pStyle w:val="Heading1"/>
      </w:pPr>
      <w:r>
        <w:t>WF-01. Khởi tạo kho</w:t>
      </w:r>
    </w:p>
    <w:p>
      <w:r>
        <w:t>Quản trị khởi tạo 15 dãy (110–124), mỗi dãy 87 ô, 6 tầng, 3 slot A/B/C, gán thứ tự vật lý trái→phải; thêm đường đi giữa ô 43–44 rộng 5 m, các khe sau kệ 0,5 m, các lối đi cụm 5 m, hai đầu dãy 4 m. Dữ liệu cấu trúc ổn định, không tự thay đổi vì có thêm khách thuê.</w:t>
      </w:r>
    </w:p>
    <w:p>
      <w:pPr>
        <w:pStyle w:val="Heading1"/>
      </w:pPr>
      <w:r>
        <w:t>WF-02. Cấp phân khu cho khách thuê</w:t>
      </w:r>
    </w:p>
    <w:p>
      <w:pPr>
        <w:pStyle w:val="ListNumber"/>
      </w:pPr>
      <w:r>
        <w:t>Quản trị nhập khách, diện tích thuê và thời hạn.</w:t>
      </w:r>
    </w:p>
    <w:p>
      <w:pPr>
        <w:pStyle w:val="ListNumber"/>
      </w:pPr>
      <w:r>
        <w:t xml:space="preserve">Hệ thống tính </w:t>
      </w:r>
      <w:r>
        <w:rPr>
          <w:rFonts w:ascii="Consolas" w:hAnsi="Consolas"/>
          <w:color w:val="1A617C"/>
          <w:sz w:val="18"/>
        </w:rPr>
        <w:t>N = ceil(area_m2 * 0.70 / 5.6)</w:t>
      </w:r>
      <w:r>
        <w:t>.</w:t>
      </w:r>
    </w:p>
    <w:p>
      <w:pPr>
        <w:pStyle w:val="ListNumber"/>
      </w:pPr>
      <w:r>
        <w:t>Duyệt các ô đang AVAILABLE, không có ACTIVE lease, không có hàng, không khóa và không bị đặt trước.</w:t>
      </w:r>
    </w:p>
    <w:p>
      <w:pPr>
        <w:pStyle w:val="ListNumber"/>
      </w:pPr>
      <w:r>
        <w:t>Tìm nhóm liền kề dài nhất theo dãy 110–124, ô 01–87; đề xuất đủ N ô, không trộn quyền giữa khách.</w:t>
      </w:r>
    </w:p>
    <w:p>
      <w:pPr>
        <w:pStyle w:val="ListNumber"/>
      </w:pPr>
      <w:r>
        <w:t>Hiển thị sơ đồ, số ô, diện tích quy đổi và cảnh báo phân mảnh nếu có.</w:t>
      </w:r>
    </w:p>
    <w:p>
      <w:pPr>
        <w:pStyle w:val="ListNumber"/>
      </w:pPr>
      <w:r>
        <w:t xml:space="preserve">Người dùng bấm </w:t>
      </w:r>
      <w:r>
        <w:rPr>
          <w:b/>
        </w:rPr>
        <w:t>Xác nhận phân khu</w:t>
      </w:r>
      <w:r>
        <w:t>.</w:t>
      </w:r>
    </w:p>
    <w:p>
      <w:pPr>
        <w:pStyle w:val="ListNumber"/>
      </w:pPr>
      <w:r>
        <w:t>Backend transaction lock các ô, kiểm tra lại rồi insert lease + bay_assignments; commit và ghi audit.</w:t>
      </w:r>
    </w:p>
    <w:p>
      <w:pPr>
        <w:pStyle w:val="ListNumber"/>
      </w:pPr>
      <w:r>
        <w:t>Khi lỗi đồng thời: rollback, trả 409 Conflict, yêu cầu chạy lại đề xuất.</w:t>
      </w:r>
    </w:p>
    <w:p>
      <w:pPr>
        <w:pStyle w:val="Heading1"/>
      </w:pPr>
      <w:r>
        <w:t>WF-03. Nhập Excel</w:t>
      </w:r>
    </w:p>
    <w:p>
      <w:pPr>
        <w:pStyle w:val="ListNumber"/>
      </w:pPr>
      <w:r>
        <w:t>Nhân viên chọn khách và file Excel.</w:t>
      </w:r>
    </w:p>
    <w:p>
      <w:pPr>
        <w:pStyle w:val="ListNumber"/>
      </w:pPr>
      <w:r>
        <w:t>Parser đọc các cột theo Input_Gửi đi; chuẩn hóa m, kg; kiểm tra dòng lỗi.</w:t>
      </w:r>
    </w:p>
    <w:p>
      <w:pPr>
        <w:pStyle w:val="ListNumber"/>
      </w:pPr>
      <w:r>
        <w:t>Hiển thị preview, cảnh báo sai SKU/đơn vị/số lượng, không tự nhập dòng sai.</w:t>
      </w:r>
    </w:p>
    <w:p>
      <w:pPr>
        <w:pStyle w:val="ListNumber"/>
      </w:pPr>
      <w:r>
        <w:t>Nhân viên xác nhận danh sách SKU cho phiếu nhập nháp.</w:t>
      </w:r>
    </w:p>
    <w:p>
      <w:pPr>
        <w:pStyle w:val="ListNumber"/>
      </w:pPr>
      <w:r>
        <w:t>Chuyển đến WF-05 tính pallet.</w:t>
      </w:r>
    </w:p>
    <w:p>
      <w:pPr>
        <w:pStyle w:val="Heading1"/>
      </w:pPr>
      <w:r>
        <w:t>WF-04. Nhập thủ công</w:t>
      </w:r>
    </w:p>
    <w:p>
      <w:pPr>
        <w:pStyle w:val="ListNumber"/>
      </w:pPr>
      <w:r>
        <w:t>Chọn khách; nhập một hoặc nhiều SKU, số kiện, kích thước, G.W/kiện.</w:t>
      </w:r>
    </w:p>
    <w:p>
      <w:pPr>
        <w:pStyle w:val="ListNumber"/>
      </w:pPr>
      <w:r>
        <w:t>Backend validate số nguyên dương, kích thước &gt;0, trọng lượng &gt;0, SKU thuộc khách.</w:t>
      </w:r>
    </w:p>
    <w:p>
      <w:pPr>
        <w:pStyle w:val="ListNumber"/>
      </w:pPr>
      <w:r>
        <w:t>Lưu phiếu nhập DRAFT; không chiếm slot.</w:t>
      </w:r>
    </w:p>
    <w:p>
      <w:pPr>
        <w:pStyle w:val="ListNumber"/>
      </w:pPr>
      <w:r>
        <w:t>Chuyển WF-05.</w:t>
      </w:r>
    </w:p>
    <w:p>
      <w:pPr>
        <w:pStyle w:val="Heading1"/>
      </w:pPr>
      <w:r>
        <w:t>WF-05. Tính toán pallet</w:t>
      </w:r>
    </w:p>
    <w:p>
      <w:pPr>
        <w:pStyle w:val="ListNumber"/>
      </w:pPr>
      <w:r>
        <w:t>Mỗi dòng SKU xử lý độc lập; kiểm tra gỗ thô trước, sau đó đơn/đôi/quá khổ.</w:t>
      </w:r>
    </w:p>
    <w:p>
      <w:pPr>
        <w:pStyle w:val="ListNumber"/>
      </w:pPr>
      <w:r>
        <w:t>Thử đặt D×R và R×D, không lật C. Kiểm tra chiều cao kiện ≤1,65m.</w:t>
      </w:r>
    </w:p>
    <w:p>
      <w:pPr>
        <w:pStyle w:val="ListNumber"/>
      </w:pPr>
      <w:r>
        <w:t>Tính số kiện/lớp, số lớp, giới hạn tải, pallet đầy/lẻ.</w:t>
      </w:r>
    </w:p>
    <w:p>
      <w:pPr>
        <w:pStyle w:val="ListNumber"/>
      </w:pPr>
      <w:r>
        <w:t>Kết quả PLANNED kèm số slot cần: đơn=1, đôi=2 (AB/BC), gỗ thô=3 ở tầng 1.</w:t>
      </w:r>
    </w:p>
    <w:p>
      <w:pPr>
        <w:pStyle w:val="ListNumber"/>
      </w:pPr>
      <w:r>
        <w:t>Hàng quá khổ chuyển danh sách xử lý mặt sàn riêng, không gán kệ.</w:t>
      </w:r>
    </w:p>
    <w:p>
      <w:pPr>
        <w:pStyle w:val="Heading1"/>
      </w:pPr>
      <w:r>
        <w:t>WF-06. Đề xuất vị trí → xác nhận lưu kho</w:t>
      </w:r>
    </w:p>
    <w:p>
      <w:pPr>
        <w:pStyle w:val="ListNumber"/>
      </w:pPr>
      <w:r>
        <w:t>Chọn các pallet dự kiến thuộc khách.</w:t>
      </w:r>
    </w:p>
    <w:p>
      <w:pPr>
        <w:pStyle w:val="ListNumber"/>
      </w:pPr>
      <w:r>
        <w:t>Lọc chỉ ô đã cấp hợp lệ cho khách.</w:t>
      </w:r>
    </w:p>
    <w:p>
      <w:pPr>
        <w:pStyle w:val="ListNumber"/>
      </w:pPr>
      <w:r>
        <w:t>Bỏ ô bảo trì/khóa và slot đang dùng/giữ chỗ; kiểm tra quyền tiếp cận.</w:t>
      </w:r>
    </w:p>
    <w:p>
      <w:pPr>
        <w:pStyle w:val="ListNumber"/>
      </w:pPr>
      <w:r>
        <w:t>Kiểm tra mặt pallet, chiều cao, tải pallet, tổng tải tầng và kiểu slot liên tiếp.</w:t>
      </w:r>
    </w:p>
    <w:p>
      <w:pPr>
        <w:pStyle w:val="ListNumber"/>
      </w:pPr>
      <w:r>
        <w:t>Lọc tầng: nhẹ ưu tiên 2→6 rồi 1; pallet vượt 700kg (đơn) hay 1.400kg (đôi) chỉ tầng 1.</w:t>
      </w:r>
    </w:p>
    <w:p>
      <w:pPr>
        <w:pStyle w:val="ListNumber"/>
      </w:pPr>
      <w:r>
        <w:t>Trong một tầng duyệt dãy 110→124 rồi ô 01→87; slot A→B→C hoặc AB→BC.</w:t>
      </w:r>
    </w:p>
    <w:p>
      <w:pPr>
        <w:pStyle w:val="ListNumber"/>
      </w:pPr>
      <w:r>
        <w:t>Trả bảng đề xuất, thời hạn giữ chỗ tạm [độ dài do quản trị cấu hình].</w:t>
      </w:r>
    </w:p>
    <w:p>
      <w:pPr>
        <w:pStyle w:val="ListNumber"/>
      </w:pPr>
      <w:r>
        <w:t xml:space="preserve">Nhân viên bấm </w:t>
      </w:r>
      <w:r>
        <w:rPr>
          <w:b/>
        </w:rPr>
        <w:t>Xác nhận lưu kho</w:t>
      </w:r>
      <w:r>
        <w:t>.</w:t>
      </w:r>
    </w:p>
    <w:p>
      <w:pPr>
        <w:pStyle w:val="ListNumber"/>
      </w:pPr>
      <w:r>
        <w:t>Backend transaction lock bay/rack_slots theo thứ tự ID tăng, kiểm tra lại tải/tình trạng/tenancy, chèn pallet_placements + occupied_slots, ghi audit, commit.</w:t>
      </w:r>
    </w:p>
    <w:p>
      <w:pPr>
        <w:pStyle w:val="ListNumber"/>
      </w:pPr>
      <w:r>
        <w:t>Trả trạng thái cập nhật và làm mới sơ đồ 3D. Khi không còn chỗ: rollback, không ghi nửa vời trừ khi nghiệp vụ cho phép xác nhận một phần.</w:t>
      </w:r>
    </w:p>
    <w:p>
      <w:pPr>
        <w:pStyle w:val="Heading1"/>
      </w:pPr>
      <w:r>
        <w:t>WF-07. Xem mô hình 3D</w:t>
      </w:r>
    </w:p>
    <w:p>
      <w:pPr>
        <w:pStyle w:val="ListNumber"/>
      </w:pPr>
      <w:r>
        <w:t>Client lấy cấu trúc kho và thống kê trạng thái theo dãy.</w:t>
      </w:r>
    </w:p>
    <w:p>
      <w:pPr>
        <w:pStyle w:val="ListNumber"/>
      </w:pPr>
      <w:r>
        <w:t>Chỉ render phần nhìn thấy; chọn dãy để tải dữ liệu ô/tầng/pallet chi tiết.</w:t>
      </w:r>
    </w:p>
    <w:p>
      <w:pPr>
        <w:pStyle w:val="ListNumber"/>
      </w:pPr>
      <w:r>
        <w:t>Người dùng lọc khách, SKU, trạng thái, nhập mã vị trí hoặc nhấp pallet.</w:t>
      </w:r>
    </w:p>
    <w:p>
      <w:pPr>
        <w:pStyle w:val="ListNumber"/>
      </w:pPr>
      <w:r>
        <w:t>Chi tiết từ API phải tuân thủ quyền truy cập; không dựa vào màu 3D làm nguồn sự thật.</w:t>
      </w:r>
    </w:p>
    <w:p>
      <w:pPr>
        <w:pStyle w:val="Heading1"/>
      </w:pPr>
      <w:r>
        <w:t>WF-08. Xuất kho và di chuyển [CHƯA CHỐT]</w:t>
      </w:r>
    </w:p>
    <w:p>
      <w:r>
        <w:t>Đề xuất để thiết kế chuẩn bị: tạo phiếu xuất/di chuyển → kiểm quyền và điều kiện an toàn → xác nhận → giải phóng slot cũ và cập nhật slot mới trong CÙNG transaction → ghi pallet_movements. Chưa triển khai vào vận hành cho đến khi khách duyệt.</w:t>
      </w:r>
    </w:p>
    <w:p>
      <w:pPr>
        <w:pStyle w:val="Heading1"/>
      </w:pPr>
      <w:r>
        <w:t>2. Mã trạng thái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Đối tượng</w:t>
            </w:r>
          </w:p>
        </w:tc>
        <w:tc>
          <w:tcPr>
            <w:tcW w:type="dxa" w:w="4932"/>
            <w:vAlign w:val="center"/>
            <w:shd w:fill="1D4055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Phiếu nhập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DRAFT → PROPOSED → CONFIRMED / PARTIAL / CANCELLED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Pallet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PLANNED → STORED / FLOOR → OUTBOUND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Đề xuất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PENDING → CONFIRMED / EXPIRED / CANCELLED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Cấp khu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DRAFT → ACTIVE → CLOSED; assignments ACTIVE → RELEASED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Slot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Sẵn sàng, đang chiếm, khóa hoặc giữ chỗ tạm (giữ chỗ được quản lý riêng)</w:t>
            </w:r>
          </w:p>
        </w:tc>
      </w:tr>
    </w:tbl>
    <w:p>
      <w:pPr>
        <w:spacing w:after="0"/>
      </w:pPr>
    </w:p>
    <w:p>
      <w:pPr>
        <w:pStyle w:val="Heading1"/>
      </w:pPr>
      <w:r>
        <w:t>3. Xung đột đồng thời bắt buộc xử lý</w:t>
      </w:r>
    </w:p>
    <w:p>
      <w:pPr>
        <w:pStyle w:val="ListBullet"/>
      </w:pPr>
      <w:r>
        <w:t>Hai yêu cầu cấp cùng ô: chỉ giao dịch đầu thành công; giao dịch sau phải thất bại an toàn.</w:t>
      </w:r>
    </w:p>
    <w:p>
      <w:pPr>
        <w:pStyle w:val="ListBullet"/>
      </w:pPr>
      <w:r>
        <w:t>Hai phiếu nhập cùng slot: unique occupied_slots.slot_id ngăn ghi trùng; backend khóa trước khi tính tổng tải tầng.</w:t>
      </w:r>
    </w:p>
    <w:p>
      <w:pPr>
        <w:pStyle w:val="ListBullet"/>
      </w:pPr>
      <w:r>
        <w:t>Pallet đôi: AB hoặc BC phải được xác nhận nguyên tử, không được giữ mỗi một nửa.</w:t>
      </w:r>
    </w:p>
    <w:p>
      <w:pPr>
        <w:pStyle w:val="ListBullet"/>
      </w:pPr>
      <w:r>
        <w:t>Đề xuất hết hiệu lực: không được tự động xác nhận theo dữ liệu cũ.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Master v1.5  •  Bản thiết kế kỹ thuật, chưa nghiệm thu vận hành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37581"/>
      </w:rPr>
      <w:t>WAREHOUSE OPTIMIZATION  |  TECHNICAL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536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544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44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544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544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