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1B4C" w14:textId="77777777" w:rsidR="008F3421" w:rsidRDefault="008F3421" w:rsidP="008F3421">
      <w:pPr>
        <w:widowControl/>
        <w:spacing w:before="40" w:after="4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CỘNG HÒA XÃ HỘI CHỦ NGHĨA VIỆT NAM</w:t>
      </w:r>
    </w:p>
    <w:p w14:paraId="74060660" w14:textId="77777777" w:rsidR="008F3421" w:rsidRDefault="008F3421" w:rsidP="008F3421">
      <w:pPr>
        <w:widowControl/>
        <w:spacing w:before="40" w:after="4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–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phúc</w:t>
      </w:r>
      <w:proofErr w:type="spellEnd"/>
    </w:p>
    <w:p w14:paraId="262F93ED" w14:textId="7C7A516C" w:rsidR="008F3421" w:rsidRDefault="008F3421" w:rsidP="008F3421">
      <w:pPr>
        <w:widowControl/>
        <w:tabs>
          <w:tab w:val="left" w:pos="2060"/>
          <w:tab w:val="center" w:pos="4819"/>
        </w:tabs>
        <w:spacing w:before="40" w:after="40" w:line="264" w:lineRule="auto"/>
        <w:jc w:val="center"/>
      </w:pPr>
      <w:proofErr w:type="gramStart"/>
      <w:r>
        <w:rPr>
          <w:b/>
          <w:sz w:val="24"/>
          <w:szCs w:val="24"/>
        </w:rPr>
        <w:t>*********************</w:t>
      </w:r>
      <w:r w:rsidR="0024484D">
        <w:rPr>
          <w:b/>
          <w:sz w:val="24"/>
          <w:szCs w:val="24"/>
        </w:rPr>
        <w:t>_</w:t>
      </w:r>
      <w:proofErr w:type="gramEnd"/>
    </w:p>
    <w:p w14:paraId="0A4AB91A" w14:textId="77777777" w:rsidR="008F3421" w:rsidRDefault="008F3421" w:rsidP="008F3421">
      <w:pPr>
        <w:widowControl/>
        <w:tabs>
          <w:tab w:val="left" w:pos="2060"/>
          <w:tab w:val="center" w:pos="4819"/>
        </w:tabs>
        <w:spacing w:before="40" w:after="40" w:line="264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HỢP ĐỒNG KINH TẾ</w:t>
      </w:r>
    </w:p>
    <w:p w14:paraId="6FABD14A" w14:textId="012703F3" w:rsidR="008F3421" w:rsidRDefault="008F3421" w:rsidP="008F3421">
      <w:pPr>
        <w:widowControl/>
        <w:spacing w:before="40" w:after="40" w:line="264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r w:rsidR="00DD2670" w:rsidRPr="00DD2670">
        <w:rPr>
          <w:rFonts w:ascii="Times New Roman" w:eastAsia="Times New Roman" w:hAnsi="Times New Roman" w:cs="Times New Roman"/>
          <w:b/>
          <w:bCs/>
          <w:highlight w:val="white"/>
        </w:rPr>
        <w:t>{</w:t>
      </w:r>
      <w:proofErr w:type="spellStart"/>
      <w:proofErr w:type="gramEnd"/>
      <w:r w:rsidR="00DD2670" w:rsidRPr="00DD2670">
        <w:rPr>
          <w:rFonts w:ascii="Times New Roman" w:eastAsia="Times New Roman" w:hAnsi="Times New Roman" w:cs="Times New Roman"/>
          <w:b/>
          <w:bCs/>
          <w:highlight w:val="white"/>
        </w:rPr>
        <w:t>order_number</w:t>
      </w:r>
      <w:proofErr w:type="spellEnd"/>
      <w:r w:rsidR="00DD2670" w:rsidRPr="00DD2670">
        <w:rPr>
          <w:rFonts w:ascii="Times New Roman" w:eastAsia="Times New Roman" w:hAnsi="Times New Roman" w:cs="Times New Roman"/>
          <w:b/>
          <w:bCs/>
          <w:highlight w:val="white"/>
        </w:rPr>
        <w:t>}</w:t>
      </w:r>
    </w:p>
    <w:p w14:paraId="2D890297" w14:textId="77777777" w:rsidR="008F3421" w:rsidRDefault="008F3421" w:rsidP="008F3421">
      <w:pPr>
        <w:widowControl/>
        <w:spacing w:before="40" w:after="40" w:line="264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C351452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91/2015/QH13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24/11/2015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  <w:proofErr w:type="gramEnd"/>
    </w:p>
    <w:p w14:paraId="1B599A35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Thương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36/2005/QH11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14/06/2005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  <w:proofErr w:type="gramEnd"/>
    </w:p>
    <w:p w14:paraId="577DA604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  <w:proofErr w:type="gramEnd"/>
    </w:p>
    <w:p w14:paraId="0A56BB3A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595665" w14:textId="326AB4F3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Hôm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C3750" w:rsidRPr="00E91C27">
        <w:rPr>
          <w:rFonts w:ascii="Times New Roman" w:eastAsia="Times New Roman" w:hAnsi="Times New Roman" w:cs="Times New Roman"/>
          <w:highlight w:val="white"/>
        </w:rPr>
        <w:t>{</w:t>
      </w:r>
      <w:proofErr w:type="spellStart"/>
      <w:r w:rsidR="004C3750" w:rsidRPr="00E91C27">
        <w:rPr>
          <w:rFonts w:ascii="Times New Roman" w:eastAsia="Times New Roman" w:hAnsi="Times New Roman" w:cs="Times New Roman"/>
          <w:highlight w:val="white"/>
        </w:rPr>
        <w:t>order_date</w:t>
      </w:r>
      <w:proofErr w:type="spellEnd"/>
      <w:r w:rsidR="004C3750" w:rsidRPr="00E91C27">
        <w:rPr>
          <w:rFonts w:ascii="Times New Roman" w:eastAsia="Times New Roman" w:hAnsi="Times New Roman" w:cs="Times New Roman"/>
          <w:highlight w:val="white"/>
        </w:rPr>
        <w:t>}</w:t>
      </w:r>
      <w:r w:rsidR="004C3750"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Công ty,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4A542E9E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D39A5" w14:textId="62E5CBAB" w:rsidR="008F3421" w:rsidRDefault="008F3421" w:rsidP="008F3421">
      <w:pPr>
        <w:widowControl/>
        <w:tabs>
          <w:tab w:val="left" w:pos="2127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C3750" w:rsidRPr="00E91C27">
        <w:rPr>
          <w:rFonts w:ascii="Times New Roman" w:eastAsia="Times New Roman" w:hAnsi="Times New Roman" w:cs="Times New Roman"/>
          <w:b/>
        </w:rPr>
        <w:t>{</w:t>
      </w:r>
      <w:proofErr w:type="spellStart"/>
      <w:r w:rsidR="004C3750" w:rsidRPr="00E91C27">
        <w:rPr>
          <w:rFonts w:ascii="Times New Roman" w:eastAsia="Times New Roman" w:hAnsi="Times New Roman" w:cs="Times New Roman"/>
          <w:b/>
        </w:rPr>
        <w:t>customer_name</w:t>
      </w:r>
      <w:proofErr w:type="spellEnd"/>
      <w:r w:rsidR="004C3750" w:rsidRPr="00E91C27">
        <w:rPr>
          <w:rFonts w:ascii="Times New Roman" w:eastAsia="Times New Roman" w:hAnsi="Times New Roman" w:cs="Times New Roman"/>
          <w:b/>
        </w:rPr>
        <w:t>}</w:t>
      </w:r>
    </w:p>
    <w:p w14:paraId="36E9250A" w14:textId="52CD7569" w:rsidR="008F3421" w:rsidRDefault="008F3421" w:rsidP="008F3421">
      <w:pPr>
        <w:widowControl/>
        <w:tabs>
          <w:tab w:val="left" w:pos="2127"/>
        </w:tabs>
        <w:spacing w:before="40" w:after="40" w:line="264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C3750" w:rsidRPr="00E91C27">
        <w:rPr>
          <w:rFonts w:ascii="Times New Roman" w:eastAsia="Times New Roman" w:hAnsi="Times New Roman" w:cs="Times New Roman"/>
        </w:rPr>
        <w:t>{</w:t>
      </w:r>
      <w:proofErr w:type="spellStart"/>
      <w:r w:rsidR="004C3750" w:rsidRPr="000140E0">
        <w:rPr>
          <w:rFonts w:ascii="Times New Roman" w:eastAsia="Times New Roman" w:hAnsi="Times New Roman" w:cs="Times New Roman"/>
        </w:rPr>
        <w:t>invoice_address</w:t>
      </w:r>
      <w:proofErr w:type="spellEnd"/>
      <w:r w:rsidR="004C3750" w:rsidRPr="00E91C27">
        <w:rPr>
          <w:rFonts w:ascii="Times New Roman" w:eastAsia="Times New Roman" w:hAnsi="Times New Roman" w:cs="Times New Roman"/>
        </w:rPr>
        <w:t>}</w:t>
      </w:r>
    </w:p>
    <w:p w14:paraId="293ED005" w14:textId="5147C32F" w:rsidR="008F3421" w:rsidRDefault="008F3421" w:rsidP="008F3421">
      <w:pPr>
        <w:widowControl/>
        <w:tabs>
          <w:tab w:val="left" w:pos="1985"/>
        </w:tabs>
        <w:spacing w:before="40" w:after="40" w:line="264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C3750" w:rsidRPr="00E91C27">
        <w:rPr>
          <w:rFonts w:ascii="Times New Roman" w:eastAsia="Times New Roman" w:hAnsi="Times New Roman" w:cs="Times New Roman"/>
        </w:rPr>
        <w:t>{</w:t>
      </w:r>
      <w:proofErr w:type="spellStart"/>
      <w:r w:rsidR="004C3750" w:rsidRPr="000140E0">
        <w:rPr>
          <w:rFonts w:ascii="Times New Roman" w:eastAsia="Times New Roman" w:hAnsi="Times New Roman" w:cs="Times New Roman"/>
        </w:rPr>
        <w:t>tax_code</w:t>
      </w:r>
      <w:proofErr w:type="spellEnd"/>
      <w:r w:rsidR="004C3750" w:rsidRPr="00E91C27">
        <w:rPr>
          <w:rFonts w:ascii="Times New Roman" w:eastAsia="Times New Roman" w:hAnsi="Times New Roman" w:cs="Times New Roman"/>
        </w:rPr>
        <w:t>}</w:t>
      </w:r>
    </w:p>
    <w:p w14:paraId="69BF0C0E" w14:textId="77777777" w:rsidR="008F3421" w:rsidRDefault="008F3421" w:rsidP="008F3421">
      <w:pPr>
        <w:widowControl/>
        <w:spacing w:before="40" w:after="40" w:line="264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13E76C9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CÔNG TY TNHH SẢN XUẤT VÀ DỊCH VỤ ĐỨC THÀNH</w:t>
      </w:r>
    </w:p>
    <w:p w14:paraId="345FE6F8" w14:textId="77777777" w:rsidR="008F3421" w:rsidRDefault="008F3421" w:rsidP="008F3421">
      <w:pPr>
        <w:widowControl/>
        <w:spacing w:before="40" w:after="40" w:line="264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chỉ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111/12,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Cốc,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Tây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Liêm, Thành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Việt Nam</w:t>
      </w:r>
    </w:p>
    <w:p w14:paraId="5E2C8BCA" w14:textId="77777777" w:rsidR="008F3421" w:rsidRDefault="008F3421" w:rsidP="008F3421">
      <w:pPr>
        <w:widowControl/>
        <w:spacing w:before="40" w:after="40" w:line="264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0108325268</w:t>
      </w:r>
    </w:p>
    <w:p w14:paraId="6DFB9A19" w14:textId="77777777" w:rsidR="008F3421" w:rsidRDefault="008F3421" w:rsidP="008F3421">
      <w:pPr>
        <w:widowControl/>
        <w:spacing w:before="40" w:after="40" w:line="264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Phùng Đức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Khoáng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Đốc</w:t>
      </w:r>
      <w:proofErr w:type="spellEnd"/>
    </w:p>
    <w:p w14:paraId="6853A97D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9A1CB7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4C7F6E" w14:textId="77777777" w:rsidR="008F3421" w:rsidRDefault="008F3421" w:rsidP="008F3421">
      <w:pPr>
        <w:widowControl/>
        <w:tabs>
          <w:tab w:val="left" w:pos="72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1: TÊN HÀNG - SỐ LƯỢNG - QUY CÁCH - GIÁ TRỊ HỢP ĐỒNG</w:t>
      </w:r>
    </w:p>
    <w:p w14:paraId="64C18EFA" w14:textId="77777777" w:rsidR="008F3421" w:rsidRDefault="008F3421" w:rsidP="008F3421">
      <w:pPr>
        <w:widowControl/>
        <w:tabs>
          <w:tab w:val="left" w:pos="72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3610"/>
        <w:gridCol w:w="900"/>
        <w:gridCol w:w="990"/>
        <w:gridCol w:w="1980"/>
        <w:gridCol w:w="2160"/>
      </w:tblGrid>
      <w:tr w:rsidR="008F3421" w14:paraId="6B368866" w14:textId="77777777" w:rsidTr="008F3421">
        <w:trPr>
          <w:trHeight w:val="701"/>
        </w:trPr>
        <w:tc>
          <w:tcPr>
            <w:tcW w:w="795" w:type="dxa"/>
            <w:vAlign w:val="center"/>
          </w:tcPr>
          <w:p w14:paraId="7096FBF0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STT</w:t>
            </w:r>
          </w:p>
        </w:tc>
        <w:tc>
          <w:tcPr>
            <w:tcW w:w="3610" w:type="dxa"/>
            <w:vAlign w:val="center"/>
          </w:tcPr>
          <w:p w14:paraId="6B4C0E56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TÊN SẢN PHẨM - QUY CÁCH</w:t>
            </w:r>
          </w:p>
        </w:tc>
        <w:tc>
          <w:tcPr>
            <w:tcW w:w="900" w:type="dxa"/>
            <w:vAlign w:val="center"/>
          </w:tcPr>
          <w:p w14:paraId="5FCEE5A9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ĐVT</w:t>
            </w:r>
          </w:p>
        </w:tc>
        <w:tc>
          <w:tcPr>
            <w:tcW w:w="990" w:type="dxa"/>
            <w:vAlign w:val="center"/>
          </w:tcPr>
          <w:p w14:paraId="1F4D7E4E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SỐ LƯỢNG</w:t>
            </w:r>
          </w:p>
        </w:tc>
        <w:tc>
          <w:tcPr>
            <w:tcW w:w="1980" w:type="dxa"/>
            <w:vAlign w:val="center"/>
          </w:tcPr>
          <w:p w14:paraId="7AF33E1D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ĐƠN GIÁ</w:t>
            </w:r>
          </w:p>
          <w:p w14:paraId="60A2DF2F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2160" w:type="dxa"/>
            <w:vAlign w:val="center"/>
          </w:tcPr>
          <w:p w14:paraId="635909A1" w14:textId="77777777" w:rsidR="008F3421" w:rsidRDefault="008F3421" w:rsidP="009447B4">
            <w:pPr>
              <w:widowControl/>
              <w:tabs>
                <w:tab w:val="left" w:pos="720"/>
                <w:tab w:val="left" w:pos="126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THÀNH TIỀN</w:t>
            </w:r>
          </w:p>
          <w:p w14:paraId="69D3537B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(ĐVT: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)</w:t>
            </w:r>
          </w:p>
        </w:tc>
      </w:tr>
      <w:tr w:rsidR="00501C08" w14:paraId="5AE5CD16" w14:textId="77777777" w:rsidTr="008F3421">
        <w:trPr>
          <w:trHeight w:val="1021"/>
        </w:trPr>
        <w:tc>
          <w:tcPr>
            <w:tcW w:w="795" w:type="dxa"/>
            <w:vAlign w:val="center"/>
          </w:tcPr>
          <w:p w14:paraId="261B8E6B" w14:textId="32227BB9" w:rsidR="00501C08" w:rsidRDefault="00501C08" w:rsidP="00501C08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16A">
              <w:rPr>
                <w:rFonts w:ascii="Times New Roman" w:hAnsi="Times New Roman" w:cs="Times New Roman"/>
                <w:sz w:val="2"/>
                <w:szCs w:val="2"/>
              </w:rPr>
              <w:t>{#</w:t>
            </w:r>
            <w:proofErr w:type="gramStart"/>
            <w:r w:rsidRPr="0068416A">
              <w:rPr>
                <w:rFonts w:ascii="Times New Roman" w:hAnsi="Times New Roman" w:cs="Times New Roman"/>
                <w:sz w:val="2"/>
                <w:szCs w:val="2"/>
              </w:rPr>
              <w:t>products}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gramEnd"/>
            <w:r w:rsidRPr="00E91C27">
              <w:rPr>
                <w:rFonts w:ascii="Times New Roman" w:hAnsi="Times New Roman" w:cs="Times New Roman"/>
              </w:rPr>
              <w:t>stt}</w:t>
            </w:r>
          </w:p>
        </w:tc>
        <w:tc>
          <w:tcPr>
            <w:tcW w:w="3610" w:type="dxa"/>
            <w:vAlign w:val="center"/>
          </w:tcPr>
          <w:p w14:paraId="117A8655" w14:textId="77777777" w:rsidR="00501C08" w:rsidRDefault="00501C08" w:rsidP="00501C08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1C27">
              <w:rPr>
                <w:rFonts w:ascii="Times New Roman" w:hAnsi="Times New Roman" w:cs="Times New Roman"/>
                <w:b/>
                <w:bCs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  <w:b/>
                <w:bCs/>
              </w:rPr>
              <w:t>ten_hang_hoa</w:t>
            </w:r>
            <w:proofErr w:type="spellEnd"/>
            <w:r w:rsidRPr="00E91C2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6FCDDC46" w14:textId="24802F71" w:rsidR="00501C08" w:rsidRDefault="00501C08" w:rsidP="00501C08">
            <w:pPr>
              <w:widowControl/>
              <w:spacing w:before="40" w:after="4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</w:t>
            </w: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00" w:type="dxa"/>
            <w:vAlign w:val="center"/>
          </w:tcPr>
          <w:p w14:paraId="47886762" w14:textId="3870E065" w:rsidR="00501C08" w:rsidRDefault="00501C08" w:rsidP="00501C08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dvt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90" w:type="dxa"/>
            <w:vAlign w:val="center"/>
          </w:tcPr>
          <w:p w14:paraId="56F3017A" w14:textId="6143841F" w:rsidR="00501C08" w:rsidRDefault="00501C08" w:rsidP="00501C08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so_luong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980" w:type="dxa"/>
            <w:vAlign w:val="center"/>
          </w:tcPr>
          <w:p w14:paraId="438C8E38" w14:textId="3CC21259" w:rsidR="00501C08" w:rsidRDefault="00501C08" w:rsidP="00501C08">
            <w:pPr>
              <w:widowControl/>
              <w:tabs>
                <w:tab w:val="left" w:pos="720"/>
              </w:tabs>
              <w:spacing w:before="40" w:after="40" w:line="264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don_gia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60" w:type="dxa"/>
            <w:vAlign w:val="center"/>
          </w:tcPr>
          <w:p w14:paraId="0238DF93" w14:textId="419D2D6E" w:rsidR="00501C08" w:rsidRDefault="00501C08" w:rsidP="00501C08">
            <w:pPr>
              <w:widowControl/>
              <w:tabs>
                <w:tab w:val="left" w:pos="720"/>
              </w:tabs>
              <w:spacing w:before="40" w:after="40" w:line="264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thanh_</w:t>
            </w:r>
            <w:proofErr w:type="gramStart"/>
            <w:r w:rsidRPr="00E91C27">
              <w:rPr>
                <w:rFonts w:ascii="Times New Roman" w:hAnsi="Times New Roman" w:cs="Times New Roman"/>
              </w:rPr>
              <w:t>tien</w:t>
            </w:r>
            <w:proofErr w:type="spellEnd"/>
            <w:r w:rsidRPr="00E91C27">
              <w:rPr>
                <w:rFonts w:ascii="Times New Roman" w:hAnsi="Times New Roman" w:cs="Times New Roman"/>
              </w:rPr>
              <w:t>}{</w:t>
            </w:r>
            <w:proofErr w:type="gramEnd"/>
            <w:r w:rsidRPr="00E91C27">
              <w:rPr>
                <w:rFonts w:ascii="Times New Roman" w:hAnsi="Times New Roman" w:cs="Times New Roman"/>
              </w:rPr>
              <w:t>/products}</w:t>
            </w:r>
          </w:p>
        </w:tc>
      </w:tr>
      <w:tr w:rsidR="008F3421" w14:paraId="466ACA74" w14:textId="77777777" w:rsidTr="008F3421">
        <w:trPr>
          <w:trHeight w:val="431"/>
        </w:trPr>
        <w:tc>
          <w:tcPr>
            <w:tcW w:w="8275" w:type="dxa"/>
            <w:gridSpan w:val="5"/>
            <w:vAlign w:val="center"/>
          </w:tcPr>
          <w:p w14:paraId="3CF9B829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2160" w:type="dxa"/>
            <w:vAlign w:val="center"/>
          </w:tcPr>
          <w:p w14:paraId="531ACE57" w14:textId="5F968B35" w:rsidR="008F3421" w:rsidRPr="00501C08" w:rsidRDefault="00501C08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C08">
              <w:rPr>
                <w:rFonts w:ascii="Times New Roman" w:hAnsi="Times New Roman" w:cs="Times New Roman"/>
                <w:b/>
                <w:bCs/>
              </w:rPr>
              <w:t>{subtotal}</w:t>
            </w:r>
          </w:p>
        </w:tc>
      </w:tr>
      <w:tr w:rsidR="008F3421" w14:paraId="34C508DB" w14:textId="77777777" w:rsidTr="008F3421">
        <w:trPr>
          <w:trHeight w:val="449"/>
        </w:trPr>
        <w:tc>
          <w:tcPr>
            <w:tcW w:w="8275" w:type="dxa"/>
            <w:gridSpan w:val="5"/>
            <w:vAlign w:val="center"/>
          </w:tcPr>
          <w:p w14:paraId="09E59EBC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VAT 8%</w:t>
            </w:r>
          </w:p>
        </w:tc>
        <w:tc>
          <w:tcPr>
            <w:tcW w:w="2160" w:type="dxa"/>
            <w:vAlign w:val="center"/>
          </w:tcPr>
          <w:p w14:paraId="49073690" w14:textId="4C1E0822" w:rsidR="008F3421" w:rsidRPr="00501C08" w:rsidRDefault="00501C08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C08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01C08">
              <w:rPr>
                <w:rFonts w:ascii="Times New Roman" w:eastAsia="Times New Roman" w:hAnsi="Times New Roman" w:cs="Times New Roman"/>
                <w:b/>
                <w:bCs/>
              </w:rPr>
              <w:t>tax_amount</w:t>
            </w:r>
            <w:proofErr w:type="spellEnd"/>
            <w:r w:rsidRPr="00501C08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</w:tr>
      <w:tr w:rsidR="00501C08" w14:paraId="168C2771" w14:textId="77777777" w:rsidTr="008F3421">
        <w:trPr>
          <w:trHeight w:val="449"/>
        </w:trPr>
        <w:tc>
          <w:tcPr>
            <w:tcW w:w="8275" w:type="dxa"/>
            <w:gridSpan w:val="5"/>
            <w:vAlign w:val="center"/>
          </w:tcPr>
          <w:p w14:paraId="05F18B89" w14:textId="77777777" w:rsidR="00501C08" w:rsidRDefault="00501C08" w:rsidP="00501C08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2160" w:type="dxa"/>
            <w:vAlign w:val="center"/>
          </w:tcPr>
          <w:p w14:paraId="1E82AF4F" w14:textId="62761740" w:rsidR="00501C08" w:rsidRPr="00501C08" w:rsidRDefault="00501C08" w:rsidP="00501C08">
            <w:pPr>
              <w:widowControl/>
              <w:tabs>
                <w:tab w:val="left" w:pos="720"/>
              </w:tabs>
              <w:spacing w:before="40" w:after="40" w:line="264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C08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01C08">
              <w:rPr>
                <w:rFonts w:ascii="Times New Roman" w:eastAsia="Times New Roman" w:hAnsi="Times New Roman" w:cs="Times New Roman"/>
                <w:b/>
                <w:bCs/>
              </w:rPr>
              <w:t>grand_total</w:t>
            </w:r>
            <w:proofErr w:type="spellEnd"/>
            <w:r w:rsidRPr="00501C08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</w:tr>
    </w:tbl>
    <w:p w14:paraId="13FF9B37" w14:textId="2B85E2EF" w:rsidR="008F3421" w:rsidRDefault="008F3421" w:rsidP="00501C08">
      <w:pPr>
        <w:widowControl/>
        <w:tabs>
          <w:tab w:val="left" w:pos="720"/>
          <w:tab w:val="left" w:pos="126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501C08" w:rsidRPr="00E91C27">
        <w:rPr>
          <w:rFonts w:ascii="Times New Roman" w:hAnsi="Times New Roman" w:cs="Times New Roman"/>
          <w:b/>
          <w:bCs/>
        </w:rPr>
        <w:t>{</w:t>
      </w:r>
      <w:proofErr w:type="spellStart"/>
      <w:r w:rsidR="00501C08" w:rsidRPr="00E91C27">
        <w:rPr>
          <w:rFonts w:ascii="Times New Roman" w:hAnsi="Times New Roman" w:cs="Times New Roman"/>
          <w:b/>
          <w:bCs/>
        </w:rPr>
        <w:t>total_in_words</w:t>
      </w:r>
      <w:proofErr w:type="spellEnd"/>
      <w:r w:rsidR="00501C08" w:rsidRPr="00E91C27">
        <w:rPr>
          <w:rFonts w:ascii="Times New Roman" w:hAnsi="Times New Roman" w:cs="Times New Roman"/>
          <w:b/>
          <w:bCs/>
        </w:rPr>
        <w:t>}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/.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VAT)</w:t>
      </w:r>
    </w:p>
    <w:p w14:paraId="4FF23631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100%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5CBE5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14:paraId="513BDEB7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Trường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DBFA1C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16BFAB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2: THỜI GIAN, ĐỊA ĐIỂM VÀ PHƯƠNG THỨC GIAO HÀNG</w:t>
      </w:r>
    </w:p>
    <w:p w14:paraId="0DC3BF25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A.</w:t>
      </w:r>
    </w:p>
    <w:p w14:paraId="29889A04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1.500.000đ.</w:t>
      </w:r>
    </w:p>
    <w:p w14:paraId="788943AF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Giao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F689EC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15EFD6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EBB10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B11E1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0,1%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69C001" w14:textId="77777777" w:rsidR="008F3421" w:rsidRDefault="008F3421" w:rsidP="008F3421">
      <w:pPr>
        <w:widowControl/>
        <w:tabs>
          <w:tab w:val="left" w:pos="1080"/>
          <w:tab w:val="left" w:pos="1440"/>
        </w:tabs>
        <w:spacing w:before="40" w:after="40" w:line="264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F7AE71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3: THANH TOÁN</w:t>
      </w:r>
    </w:p>
    <w:p w14:paraId="30EC1B37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CD19D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Phương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25C8F" w14:textId="77777777" w:rsidR="008F3421" w:rsidRDefault="008F3421" w:rsidP="006F55BF">
      <w:pPr>
        <w:widowControl/>
        <w:tabs>
          <w:tab w:val="left" w:pos="426"/>
          <w:tab w:val="left" w:pos="900"/>
          <w:tab w:val="left" w:pos="1440"/>
        </w:tabs>
        <w:spacing w:before="40" w:after="4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CÔNG TY TNHH SẢN XUẤT VÀ DỊCH VỤ ĐỨC THÀNH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156939258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Ngân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VPBank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Long</w:t>
      </w:r>
    </w:p>
    <w:p w14:paraId="4E85C2C6" w14:textId="77777777" w:rsidR="008F3421" w:rsidRDefault="008F3421" w:rsidP="008F3421">
      <w:pPr>
        <w:widowControl/>
        <w:tabs>
          <w:tab w:val="left" w:pos="900"/>
          <w:tab w:val="left" w:pos="1080"/>
          <w:tab w:val="left" w:pos="1440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0706F3" w14:textId="395E8759" w:rsidR="00DB1E4B" w:rsidRPr="00DB1E4B" w:rsidRDefault="008F3421" w:rsidP="00DB1E4B">
      <w:pPr>
        <w:widowControl/>
        <w:tabs>
          <w:tab w:val="left" w:pos="900"/>
          <w:tab w:val="left" w:pos="1080"/>
          <w:tab w:val="left" w:pos="996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1C08" w:rsidRPr="00501C08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spellStart"/>
      <w:r w:rsidR="00501C08" w:rsidRPr="00501C08">
        <w:rPr>
          <w:rFonts w:ascii="Times New Roman" w:eastAsia="Times New Roman" w:hAnsi="Times New Roman" w:cs="Times New Roman"/>
          <w:b/>
          <w:bCs/>
          <w:sz w:val="24"/>
          <w:szCs w:val="24"/>
        </w:rPr>
        <w:t>payment_first_amount</w:t>
      </w:r>
      <w:proofErr w:type="spellEnd"/>
      <w:r w:rsidR="00501C08" w:rsidRPr="00501C08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="00501C08" w:rsidRPr="00501C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B1E4B">
        <w:rPr>
          <w:rFonts w:ascii="Times New Roman" w:eastAsia="Times New Roman" w:hAnsi="Times New Roman" w:cs="Times New Roman"/>
          <w:b/>
          <w:i/>
          <w:sz w:val="24"/>
          <w:szCs w:val="24"/>
        </w:rPr>
        <w:t>{</w:t>
      </w:r>
      <w:proofErr w:type="spellStart"/>
      <w:r w:rsidR="00DB1E4B" w:rsidRPr="00DB1E4B">
        <w:rPr>
          <w:rFonts w:ascii="Times New Roman" w:eastAsia="Times New Roman" w:hAnsi="Times New Roman" w:cs="Times New Roman"/>
          <w:b/>
          <w:i/>
          <w:sz w:val="24"/>
          <w:szCs w:val="24"/>
        </w:rPr>
        <w:t>payment_first_words</w:t>
      </w:r>
      <w:proofErr w:type="spellEnd"/>
    </w:p>
    <w:p w14:paraId="7C8E0443" w14:textId="32A260CF" w:rsidR="008F3421" w:rsidRPr="00501C08" w:rsidRDefault="00DB1E4B" w:rsidP="008F3421">
      <w:pPr>
        <w:widowControl/>
        <w:tabs>
          <w:tab w:val="left" w:pos="900"/>
          <w:tab w:val="left" w:pos="1080"/>
          <w:tab w:val="left" w:pos="996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}</w:t>
      </w:r>
      <w:r w:rsidR="008F3421">
        <w:rPr>
          <w:rFonts w:ascii="Times New Roman" w:eastAsia="Times New Roman" w:hAnsi="Times New Roman" w:cs="Times New Roman"/>
          <w:sz w:val="24"/>
          <w:szCs w:val="24"/>
        </w:rPr>
        <w:t>./.).</w:t>
      </w:r>
    </w:p>
    <w:p w14:paraId="6F46727A" w14:textId="3BEA23F7" w:rsidR="008F3421" w:rsidRPr="00DB1E4B" w:rsidRDefault="008F3421" w:rsidP="008F3421">
      <w:pPr>
        <w:widowControl/>
        <w:tabs>
          <w:tab w:val="left" w:pos="900"/>
          <w:tab w:val="left" w:pos="1080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1E4B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="00DB1E4B" w:rsidRPr="00DB1E4B">
        <w:rPr>
          <w:rFonts w:ascii="Times New Roman" w:eastAsia="Times New Roman" w:hAnsi="Times New Roman" w:cs="Times New Roman"/>
          <w:b/>
          <w:sz w:val="24"/>
          <w:szCs w:val="24"/>
        </w:rPr>
        <w:t>payment_second_amount</w:t>
      </w:r>
      <w:proofErr w:type="spellEnd"/>
      <w:r w:rsidR="00DB1E4B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B1E4B">
        <w:rPr>
          <w:rFonts w:ascii="Times New Roman" w:eastAsia="Times New Roman" w:hAnsi="Times New Roman" w:cs="Times New Roman"/>
          <w:b/>
          <w:i/>
          <w:sz w:val="24"/>
          <w:szCs w:val="24"/>
        </w:rPr>
        <w:t>{</w:t>
      </w:r>
      <w:proofErr w:type="spellStart"/>
      <w:r w:rsidR="00DB1E4B" w:rsidRPr="00DB1E4B">
        <w:rPr>
          <w:rFonts w:ascii="Times New Roman" w:eastAsia="Times New Roman" w:hAnsi="Times New Roman" w:cs="Times New Roman"/>
          <w:b/>
          <w:i/>
          <w:sz w:val="24"/>
          <w:szCs w:val="24"/>
        </w:rPr>
        <w:t>payment_second_words</w:t>
      </w:r>
      <w:proofErr w:type="spellEnd"/>
      <w:r w:rsidR="00DB1E4B">
        <w:rPr>
          <w:rFonts w:ascii="Times New Roman" w:eastAsia="Times New Roman" w:hAnsi="Times New Roman" w:cs="Times New Roman"/>
          <w:b/>
          <w:i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./.)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03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GTGT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A2A123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Trường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lùi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0CAE6F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0,1%/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C8F66" w14:textId="77777777" w:rsidR="008F3421" w:rsidRDefault="008F3421" w:rsidP="008F3421">
      <w:pPr>
        <w:widowControl/>
        <w:tabs>
          <w:tab w:val="left" w:pos="1080"/>
          <w:tab w:val="left" w:pos="1440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602F0" w14:textId="77777777" w:rsidR="008F3421" w:rsidRDefault="008F3421" w:rsidP="008F3421">
      <w:pPr>
        <w:widowControl/>
        <w:tabs>
          <w:tab w:val="left" w:pos="1080"/>
          <w:tab w:val="left" w:pos="1440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4: KIỂM TRA BÀN GIAO VÀ NGHIỆM THU</w:t>
      </w:r>
    </w:p>
    <w:p w14:paraId="6A8B8495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6A2857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9A4DC6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A6794D" w14:textId="77777777" w:rsidR="008F3421" w:rsidRDefault="008F3421" w:rsidP="008F3421">
      <w:pPr>
        <w:widowControl/>
        <w:tabs>
          <w:tab w:val="left" w:pos="1080"/>
          <w:tab w:val="left" w:pos="1440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5: TRÁCH NHIỆM CỦA CÁC BÊN</w:t>
      </w:r>
    </w:p>
    <w:p w14:paraId="138846AF" w14:textId="77777777" w:rsidR="008F3421" w:rsidRDefault="008F3421" w:rsidP="008F3421">
      <w:pPr>
        <w:widowControl/>
        <w:tabs>
          <w:tab w:val="left" w:pos="1080"/>
          <w:tab w:val="left" w:pos="1440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Trách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A:</w:t>
      </w:r>
    </w:p>
    <w:p w14:paraId="6E0C5487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qua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nhắn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A13BEA5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1285A6AC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C57C916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ECA1819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0B5F61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1570672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B;</w:t>
      </w:r>
      <w:proofErr w:type="gramEnd"/>
    </w:p>
    <w:p w14:paraId="129F2712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Trường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chênh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05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A.</w:t>
      </w:r>
    </w:p>
    <w:p w14:paraId="7EAAA757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2B195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C3A06E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A.</w:t>
      </w:r>
    </w:p>
    <w:p w14:paraId="1DEE8D2E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ind w:left="142" w:firstLine="3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AAE2CB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Trách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B:   </w:t>
      </w:r>
    </w:p>
    <w:p w14:paraId="2DCB71B8" w14:textId="77777777" w:rsidR="008F3421" w:rsidRDefault="008F3421" w:rsidP="008F3421">
      <w:pPr>
        <w:widowControl/>
        <w:tabs>
          <w:tab w:val="left" w:pos="99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Trường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14:paraId="70D66FDD" w14:textId="77777777" w:rsidR="008F3421" w:rsidRDefault="008F3421" w:rsidP="008F3421">
      <w:pPr>
        <w:widowControl/>
        <w:tabs>
          <w:tab w:val="left" w:pos="99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D8E712F" w14:textId="77777777" w:rsidR="008F3421" w:rsidRDefault="008F3421" w:rsidP="008F3421">
      <w:pPr>
        <w:widowControl/>
        <w:tabs>
          <w:tab w:val="left" w:pos="99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Bảo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tin,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991AAD" w14:textId="77777777" w:rsidR="008F3421" w:rsidRDefault="008F3421" w:rsidP="008F3421">
      <w:pPr>
        <w:widowControl/>
        <w:tabs>
          <w:tab w:val="left" w:pos="99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8A12966" w14:textId="77777777" w:rsidR="008F3421" w:rsidRDefault="008F3421" w:rsidP="008F3421">
      <w:pPr>
        <w:widowControl/>
        <w:tabs>
          <w:tab w:val="left" w:pos="99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09BE23FF" w14:textId="77777777" w:rsidR="008F3421" w:rsidRDefault="008F3421" w:rsidP="008F3421">
      <w:pPr>
        <w:widowControl/>
        <w:tabs>
          <w:tab w:val="left" w:pos="99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779D5D" w14:textId="77777777" w:rsidR="008F3421" w:rsidRDefault="008F3421" w:rsidP="008F3421">
      <w:pPr>
        <w:widowControl/>
        <w:tabs>
          <w:tab w:val="left" w:pos="99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DCEDAD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6C71D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6: BẤT KHẢ KHÁNG</w:t>
      </w:r>
    </w:p>
    <w:p w14:paraId="26615F08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008771EE" w14:textId="77777777" w:rsidR="008F3421" w:rsidRDefault="008F3421" w:rsidP="008F3421">
      <w:pPr>
        <w:widowControl/>
        <w:tabs>
          <w:tab w:val="left" w:pos="180"/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72A5787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kia.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CCC5B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89D19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7: XỬ LÝ VI PHẠM HỢP ĐỒNG VÀ GIẢI QUYẾT TRANH CHẤP</w:t>
      </w:r>
    </w:p>
    <w:p w14:paraId="0CDF79FD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kia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email,...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08%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4579156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kịp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F7372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Tòa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Thành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74ACC922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Việt Nam.</w:t>
      </w:r>
    </w:p>
    <w:p w14:paraId="23AD0CB2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CDF82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8: ĐIỀU KHOẢN CHUNG</w:t>
      </w:r>
    </w:p>
    <w:p w14:paraId="0EA745B6" w14:textId="77777777" w:rsidR="008F3421" w:rsidRDefault="008F3421" w:rsidP="008F3421">
      <w:pPr>
        <w:widowControl/>
        <w:tabs>
          <w:tab w:val="left" w:pos="187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email, scan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422A1588" w14:textId="77777777" w:rsidR="008F3421" w:rsidRDefault="008F3421" w:rsidP="008F3421">
      <w:pPr>
        <w:widowControl/>
        <w:tabs>
          <w:tab w:val="left" w:pos="187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388E802" w14:textId="77777777" w:rsidR="008F3421" w:rsidRDefault="008F3421" w:rsidP="008F3421">
      <w:pPr>
        <w:widowControl/>
        <w:tabs>
          <w:tab w:val="left" w:pos="187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97A42" w14:textId="77777777" w:rsidR="008F3421" w:rsidRDefault="008F3421" w:rsidP="008F3421">
      <w:pPr>
        <w:widowControl/>
        <w:tabs>
          <w:tab w:val="left" w:pos="187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suốt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3EE2C" w14:textId="77777777" w:rsidR="008F3421" w:rsidRDefault="008F3421" w:rsidP="008F3421">
      <w:pPr>
        <w:widowControl/>
        <w:tabs>
          <w:tab w:val="left" w:pos="187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tin. </w:t>
      </w:r>
    </w:p>
    <w:p w14:paraId="35A4F0AA" w14:textId="77777777" w:rsidR="008F3421" w:rsidRDefault="008F3421" w:rsidP="008F3421">
      <w:pPr>
        <w:widowControl/>
        <w:tabs>
          <w:tab w:val="left" w:pos="187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(02)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để thực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18C11" w14:textId="77777777" w:rsidR="008F3421" w:rsidRDefault="008F3421" w:rsidP="008F3421">
      <w:pPr>
        <w:widowControl/>
        <w:spacing w:before="40" w:after="40" w:line="264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33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188"/>
        <w:gridCol w:w="4545"/>
      </w:tblGrid>
      <w:tr w:rsidR="008F3421" w14:paraId="71BB03A3" w14:textId="77777777" w:rsidTr="009447B4">
        <w:trPr>
          <w:trHeight w:val="80"/>
        </w:trPr>
        <w:tc>
          <w:tcPr>
            <w:tcW w:w="4188" w:type="dxa"/>
          </w:tcPr>
          <w:p w14:paraId="1D5727A4" w14:textId="77777777" w:rsidR="008F3421" w:rsidRDefault="008F3421" w:rsidP="009447B4">
            <w:pPr>
              <w:widowControl/>
              <w:spacing w:before="40" w:after="40" w:line="264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9892A6" w14:textId="77777777" w:rsidR="008F3421" w:rsidRDefault="008F3421" w:rsidP="009447B4">
            <w:pPr>
              <w:widowControl/>
              <w:spacing w:before="40" w:after="4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ĐẠI DIỆN BÊN A  </w:t>
            </w:r>
          </w:p>
        </w:tc>
        <w:tc>
          <w:tcPr>
            <w:tcW w:w="4545" w:type="dxa"/>
          </w:tcPr>
          <w:p w14:paraId="7F3EBC7F" w14:textId="77777777" w:rsidR="008F3421" w:rsidRDefault="008F3421" w:rsidP="009447B4">
            <w:pPr>
              <w:widowControl/>
              <w:spacing w:before="40" w:after="40" w:line="264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D25E4E" w14:textId="77777777" w:rsidR="008F3421" w:rsidRDefault="008F3421" w:rsidP="009447B4">
            <w:pPr>
              <w:widowControl/>
              <w:spacing w:before="40" w:after="40" w:line="264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B</w:t>
            </w:r>
          </w:p>
          <w:p w14:paraId="3578AE14" w14:textId="77777777" w:rsidR="008F3421" w:rsidRDefault="008F3421" w:rsidP="009447B4">
            <w:pPr>
              <w:widowControl/>
              <w:spacing w:before="40" w:after="40" w:line="264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878445" w14:textId="77777777" w:rsidR="008F3421" w:rsidRDefault="008F3421" w:rsidP="008F3421">
      <w:pPr>
        <w:widowControl/>
        <w:spacing w:before="40" w:after="4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</w:t>
      </w:r>
    </w:p>
    <w:p w14:paraId="1FEA0EE1" w14:textId="77777777" w:rsidR="008F3421" w:rsidRDefault="008F3421" w:rsidP="008F3421">
      <w:pPr>
        <w:widowControl/>
        <w:spacing w:before="40" w:after="4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98FF9" w14:textId="77777777" w:rsidR="008F3421" w:rsidRDefault="008F3421" w:rsidP="008F3421">
      <w:pPr>
        <w:pBdr>
          <w:top w:val="nil"/>
          <w:left w:val="nil"/>
          <w:bottom w:val="nil"/>
          <w:right w:val="nil"/>
          <w:between w:val="nil"/>
        </w:pBdr>
        <w:spacing w:before="40" w:after="40" w:line="264" w:lineRule="auto"/>
      </w:pPr>
    </w:p>
    <w:p w14:paraId="31941086" w14:textId="77777777" w:rsidR="008F3421" w:rsidRDefault="008F3421"/>
    <w:sectPr w:rsidR="008F3421" w:rsidSect="008F3421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21"/>
    <w:rsid w:val="001E4942"/>
    <w:rsid w:val="002421BF"/>
    <w:rsid w:val="0024484D"/>
    <w:rsid w:val="00397473"/>
    <w:rsid w:val="004C3750"/>
    <w:rsid w:val="00501C08"/>
    <w:rsid w:val="00632AB5"/>
    <w:rsid w:val="006F55BF"/>
    <w:rsid w:val="007C48F3"/>
    <w:rsid w:val="008F3421"/>
    <w:rsid w:val="00A32235"/>
    <w:rsid w:val="00BC34F9"/>
    <w:rsid w:val="00DB1E4B"/>
    <w:rsid w:val="00DD2670"/>
    <w:rsid w:val="00E1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A0FA"/>
  <w15:chartTrackingRefBased/>
  <w15:docId w15:val="{D02917B3-EC3E-452D-AD8A-C0D71F18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421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421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421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421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421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421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421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421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421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421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421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F3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421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F3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421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F3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421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F3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421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Hoàng</dc:creator>
  <cp:keywords/>
  <dc:description/>
  <cp:lastModifiedBy>Mai Văn Hoàng</cp:lastModifiedBy>
  <cp:revision>5</cp:revision>
  <dcterms:created xsi:type="dcterms:W3CDTF">2025-03-25T01:08:00Z</dcterms:created>
  <dcterms:modified xsi:type="dcterms:W3CDTF">2025-03-25T07:29:00Z</dcterms:modified>
</cp:coreProperties>
</file>