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Kiểm thử danh sách và thụt lề</w:t>
      </w:r>
    </w:p>
    <w:p>
      <w:pPr>
        <w:pStyle w:val="ListNumber"/>
      </w:pPr>
      <w:r>
        <w:t>Mục đánh số thứ nhất</w:t>
      </w:r>
    </w:p>
    <w:p>
      <w:pPr>
        <w:pStyle w:val="ListNumber"/>
      </w:pPr>
      <w:r>
        <w:t>Mục đánh số thứ hai</w:t>
      </w:r>
    </w:p>
    <w:p>
      <w:pPr>
        <w:pStyle w:val="ListBullet"/>
      </w:pPr>
      <w:r>
        <w:t>Mục dấu đầu dòng thứ nhất</w:t>
      </w:r>
    </w:p>
    <w:p>
      <w:pPr>
        <w:pStyle w:val="ListBullet"/>
      </w:pPr>
      <w:r>
        <w:t>Mục dấu đầu dòng thứ hai</w:t>
      </w:r>
    </w:p>
    <w:p>
      <w:pPr>
        <w:ind w:left="864" w:hanging="432"/>
      </w:pPr>
      <w:r>
        <w:t>Đoạn văn hanging indent dùng để xác nhận ký tự đầu dòng không bị cắt và nội dung vẫn giữ đúng thứ tự.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