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jc w:val="center"/>
            </w:pPr>
            <w:r>
              <w:rPr>
                <w:rFonts w:ascii="Times New Roman" w:hAnsi="Times New Roman"/>
                <w:sz w:val="24"/>
              </w:rPr>
              <w:t>TRƯỜNG THCS TRẦN PHÚ</w:t>
              <w:br/>
            </w:r>
            <w:r>
              <w:rPr>
                <w:rFonts w:ascii="Times New Roman" w:hAnsi="Times New Roman"/>
                <w:b/>
                <w:sz w:val="24"/>
              </w:rPr>
              <w:t>TỔ TOÁN - TIN HỌC</w:t>
              <w:br/>
            </w:r>
            <w:r>
              <w:rPr>
                <w:rFonts w:ascii="Times New Roman" w:hAnsi="Times New Roman"/>
                <w:i/>
                <w:sz w:val="22"/>
              </w:rPr>
              <w:t>Số: 03/PĐG-TT</w:t>
            </w:r>
          </w:p>
        </w:tc>
        <w:tc>
          <w:tcPr>
            <w:tcW w:type="dxa" w:w="5472"/>
            <w:tcMar>
              <w:top w:w="0" w:type="dxa"/>
              <w:bottom w:w="0" w:type="dxa"/>
              <w:left w:w="0" w:type="dxa"/>
              <w:right w:w="0" w:type="dxa"/>
            </w:tcMar>
          </w:tcPr>
          <w:p>
            <w:pPr>
              <w:jc w:val="center"/>
            </w:pPr>
            <w:r>
              <w:rPr>
                <w:rFonts w:ascii="Times New Roman" w:hAnsi="Times New Roman"/>
                <w:b/>
                <w:sz w:val="24"/>
              </w:rPr>
              <w:t>CỘNG HÒA XÃ HỘI CHỦ NGHĨA VIỆT NAM</w:t>
              <w:br/>
            </w:r>
            <w:r>
              <w:rPr>
                <w:rFonts w:ascii="Times New Roman" w:hAnsi="Times New Roman"/>
                <w:b/>
                <w:sz w:val="24"/>
              </w:rPr>
              <w:t>Độc lập - Tự do - Hạnh phúc</w:t>
              <w:br/>
            </w:r>
            <w:r>
              <w:rPr>
                <w:rFonts w:ascii="Times New Roman" w:hAnsi="Times New Roman"/>
                <w:i/>
                <w:sz w:val="22"/>
              </w:rPr>
              <w:t>Xuân Đông, ngày 26 tháng 10 năm 2026</w:t>
            </w:r>
          </w:p>
        </w:tc>
      </w:tr>
    </w:tbl>
    <w:p>
      <w:pPr>
        <w:spacing w:after="120"/>
      </w:pPr>
    </w:p>
    <w:p>
      <w:pPr>
        <w:jc w:val="center"/>
      </w:pPr>
      <w:r>
        <w:rPr>
          <w:rFonts w:ascii="Times New Roman" w:hAnsi="Times New Roman"/>
          <w:b/>
          <w:sz w:val="28"/>
        </w:rPr>
        <w:t>PHIẾU NHẬN XÉT, ĐÁNH GIÁ HỒ SƠ BÀI DẠY</w:t>
        <w:br/>
        <w:t>GIÁO VIÊN: HOÀNG XUÂN ÁNH</w:t>
        <w:br/>
      </w:r>
      <w:r>
        <w:rPr>
          <w:i/>
          <w:sz w:val="24"/>
        </w:rPr>
        <w:t>Đợt kiểm tra: Tháng 10/2026 — Năm học 2026 - 2027</w:t>
      </w:r>
    </w:p>
    <w:p>
      <w:pPr>
        <w:spacing w:line="288" w:lineRule="auto"/>
        <w:ind w:firstLine="720"/>
      </w:pPr>
      <w:r>
        <w:rPr>
          <w:b/>
        </w:rPr>
        <w:t xml:space="preserve">• Phân công giảng dạy: </w:t>
      </w:r>
      <w:r>
        <w:t>Toán 7 (Đại số 7 &amp; Hình học 7), Hoạt động trải nghiệm 6 (HĐTN 6).</w:t>
        <w:br/>
      </w:r>
      <w:r>
        <w:rPr>
          <w:b/>
        </w:rPr>
        <w:t xml:space="preserve">• Số lượng tệp hồ sơ kiểm tra: </w:t>
      </w:r>
      <w:r>
        <w:t>03 tệp hồ sơ (Tổng cộng: 81 trang giáo án).</w:t>
        <w:br/>
      </w:r>
      <w:r>
        <w:rPr>
          <w:b/>
        </w:rPr>
        <w:t xml:space="preserve">• Căn cứ đánh giá: </w:t>
      </w:r>
      <w:r>
        <w:t>Công văn 5512/BGDĐT-GDTrH, Nghị định 30/2020/NĐ-CP và Quy chế chuyên môn Trường THCS Trần Phú.</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40" w:type="dxa"/>
            </w:tcMar>
            <w:shd w:fill="F0FDF4"/>
            <w:tcBorders>
              <w:left w:val="single" w:sz="24" w:space="0" w:color="16A34A"/>
              <w:top w:val="none"/>
              <w:right w:val="none"/>
              <w:bottom w:val="none"/>
            </w:tcBorders>
          </w:tcPr>
          <w:p>
            <w:pPr>
              <w:spacing w:before="40" w:after="40" w:line="288" w:lineRule="auto"/>
              <w:jc w:val="both"/>
            </w:pPr>
            <w:r>
              <w:rPr>
                <w:rFonts w:ascii="Times New Roman" w:hAnsi="Times New Roman"/>
                <w:b/>
                <w:color w:val="0F172A"/>
                <w:sz w:val="26"/>
              </w:rPr>
              <w:t xml:space="preserve">👉 KẾT QUẢ ĐÁNH GIÁ CHUYÊN MÔN: </w:t>
            </w:r>
            <w:r>
              <w:rPr>
                <w:rFonts w:ascii="Times New Roman" w:hAnsi="Times New Roman"/>
                <w:color w:val="1E293B"/>
                <w:sz w:val="26"/>
              </w:rPr>
              <w:t>DUYỆT (Xếp loại: Tốt). Hồ sơ chuẩn bị rất công phu, đảm bảo 100% tiến độ chương trình, cấu trúc 4 hoạt động theo Công văn 5512 rõ nét, hình thức và thể thức bám sát quy chế chuyên môn trường THCS Trần Phú, đủ điều kiện lưu chiểu tổ chuyên môn và phê duyệt trên hệ thống trực tuyến.</w:t>
            </w:r>
          </w:p>
        </w:tc>
      </w:tr>
    </w:tbl>
    <w:p>
      <w:pPr>
        <w:spacing w:after="80"/>
      </w:pPr>
    </w:p>
    <w:p>
      <w:pPr>
        <w:ind w:firstLine="720"/>
      </w:pPr>
      <w:r>
        <w:rPr>
          <w:b/>
        </w:rPr>
        <w:t>I. TỔNG HỢP KẾT QUẢ RÀ SOÁT TỪNG PHÂN MÔN: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720"/>
            <w:shd w:fill="F1F5F9"/>
            <w:tcMar>
              <w:top w:w="70" w:type="dxa"/>
              <w:bottom w:w="70" w:type="dxa"/>
              <w:left w:w="70" w:type="dxa"/>
              <w:right w:w="70" w:type="dxa"/>
            </w:tcMar>
          </w:tcPr>
          <w:p>
            <w:pPr>
              <w:jc w:val="center"/>
            </w:pPr>
            <w:r>
              <w:rPr>
                <w:rFonts w:ascii="Times New Roman" w:hAnsi="Times New Roman"/>
                <w:b/>
                <w:sz w:val="22"/>
              </w:rPr>
              <w:t>STT</w:t>
            </w:r>
          </w:p>
        </w:tc>
        <w:tc>
          <w:tcPr>
            <w:tcW w:type="dxa" w:w="4608"/>
            <w:shd w:fill="F1F5F9"/>
            <w:tcMar>
              <w:top w:w="70" w:type="dxa"/>
              <w:bottom w:w="70" w:type="dxa"/>
              <w:left w:w="70" w:type="dxa"/>
              <w:right w:w="70" w:type="dxa"/>
            </w:tcMar>
          </w:tcPr>
          <w:p>
            <w:pPr>
              <w:jc w:val="center"/>
            </w:pPr>
            <w:r>
              <w:rPr>
                <w:rFonts w:ascii="Times New Roman" w:hAnsi="Times New Roman"/>
                <w:b/>
                <w:sz w:val="22"/>
              </w:rPr>
              <w:t>Tên tệp hồ sơ phân môn</w:t>
            </w:r>
          </w:p>
        </w:tc>
        <w:tc>
          <w:tcPr>
            <w:tcW w:type="dxa" w:w="1296"/>
            <w:shd w:fill="F1F5F9"/>
            <w:tcMar>
              <w:top w:w="70" w:type="dxa"/>
              <w:bottom w:w="70" w:type="dxa"/>
              <w:left w:w="70" w:type="dxa"/>
              <w:right w:w="70" w:type="dxa"/>
            </w:tcMar>
          </w:tcPr>
          <w:p>
            <w:pPr>
              <w:jc w:val="center"/>
            </w:pPr>
            <w:r>
              <w:rPr>
                <w:rFonts w:ascii="Times New Roman" w:hAnsi="Times New Roman"/>
                <w:b/>
                <w:sz w:val="22"/>
              </w:rPr>
              <w:t>Số trang</w:t>
            </w:r>
          </w:p>
        </w:tc>
        <w:tc>
          <w:tcPr>
            <w:tcW w:type="dxa" w:w="3456"/>
            <w:shd w:fill="F1F5F9"/>
            <w:tcMar>
              <w:top w:w="70" w:type="dxa"/>
              <w:bottom w:w="70" w:type="dxa"/>
              <w:left w:w="70" w:type="dxa"/>
              <w:right w:w="70" w:type="dxa"/>
            </w:tcMar>
          </w:tcPr>
          <w:p>
            <w:pPr>
              <w:jc w:val="center"/>
            </w:pPr>
            <w:r>
              <w:rPr>
                <w:rFonts w:ascii="Times New Roman" w:hAnsi="Times New Roman"/>
                <w:b/>
                <w:sz w:val="22"/>
              </w:rPr>
              <w:t>Kết quả rà soát chuyên môn</w:t>
            </w:r>
          </w:p>
        </w:tc>
      </w:tr>
      <w:tr>
        <w:tc>
          <w:tcPr>
            <w:tcW w:type="dxa" w:w="720"/>
            <w:tcMar>
              <w:top w:w="60" w:type="dxa"/>
              <w:bottom w:w="60" w:type="dxa"/>
              <w:left w:w="70" w:type="dxa"/>
              <w:right w:w="70" w:type="dxa"/>
            </w:tcMar>
          </w:tcPr>
          <w:p>
            <w:pPr>
              <w:jc w:val="center"/>
            </w:pPr>
            <w:r>
              <w:rPr>
                <w:rFonts w:ascii="Times New Roman" w:hAnsi="Times New Roman"/>
                <w:sz w:val="21"/>
              </w:rPr>
              <w:t>1</w:t>
            </w:r>
          </w:p>
        </w:tc>
        <w:tc>
          <w:tcPr>
            <w:tcW w:type="dxa" w:w="4608"/>
            <w:tcMar>
              <w:top w:w="60" w:type="dxa"/>
              <w:bottom w:w="60" w:type="dxa"/>
              <w:left w:w="70" w:type="dxa"/>
              <w:right w:w="70" w:type="dxa"/>
            </w:tcMar>
          </w:tcPr>
          <w:p>
            <w:r>
              <w:rPr>
                <w:rFonts w:ascii="Times New Roman" w:hAnsi="Times New Roman"/>
                <w:sz w:val="21"/>
              </w:rPr>
              <w:t>ĐẠI SỐ 7 THÁNG 10 - HOÀNG XUÂN ÁNH_1792966222503.pdf</w:t>
            </w:r>
          </w:p>
        </w:tc>
        <w:tc>
          <w:tcPr>
            <w:tcW w:type="dxa" w:w="1296"/>
            <w:tcMar>
              <w:top w:w="60" w:type="dxa"/>
              <w:bottom w:w="60" w:type="dxa"/>
              <w:left w:w="70" w:type="dxa"/>
              <w:right w:w="70" w:type="dxa"/>
            </w:tcMar>
          </w:tcPr>
          <w:p>
            <w:pPr>
              <w:jc w:val="center"/>
            </w:pPr>
            <w:r>
              <w:rPr>
                <w:rFonts w:ascii="Times New Roman" w:hAnsi="Times New Roman"/>
                <w:sz w:val="21"/>
              </w:rPr>
              <w:t>27</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2</w:t>
            </w:r>
          </w:p>
        </w:tc>
        <w:tc>
          <w:tcPr>
            <w:tcW w:type="dxa" w:w="4608"/>
            <w:tcMar>
              <w:top w:w="60" w:type="dxa"/>
              <w:bottom w:w="60" w:type="dxa"/>
              <w:left w:w="70" w:type="dxa"/>
              <w:right w:w="70" w:type="dxa"/>
            </w:tcMar>
          </w:tcPr>
          <w:p>
            <w:r>
              <w:rPr>
                <w:rFonts w:ascii="Times New Roman" w:hAnsi="Times New Roman"/>
                <w:sz w:val="21"/>
              </w:rPr>
              <w:t>hinh 7 -thang 10- HOÀNG XUÂN ÁNH_1792966222608.pdf</w:t>
            </w:r>
          </w:p>
        </w:tc>
        <w:tc>
          <w:tcPr>
            <w:tcW w:type="dxa" w:w="1296"/>
            <w:tcMar>
              <w:top w:w="60" w:type="dxa"/>
              <w:bottom w:w="60" w:type="dxa"/>
              <w:left w:w="70" w:type="dxa"/>
              <w:right w:w="70" w:type="dxa"/>
            </w:tcMar>
          </w:tcPr>
          <w:p>
            <w:pPr>
              <w:jc w:val="center"/>
            </w:pPr>
            <w:r>
              <w:rPr>
                <w:rFonts w:ascii="Times New Roman" w:hAnsi="Times New Roman"/>
                <w:sz w:val="21"/>
              </w:rPr>
              <w:t>44</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3</w:t>
            </w:r>
          </w:p>
        </w:tc>
        <w:tc>
          <w:tcPr>
            <w:tcW w:type="dxa" w:w="4608"/>
            <w:tcMar>
              <w:top w:w="60" w:type="dxa"/>
              <w:bottom w:w="60" w:type="dxa"/>
              <w:left w:w="70" w:type="dxa"/>
              <w:right w:w="70" w:type="dxa"/>
            </w:tcMar>
          </w:tcPr>
          <w:p>
            <w:r>
              <w:rPr>
                <w:rFonts w:ascii="Times New Roman" w:hAnsi="Times New Roman"/>
                <w:sz w:val="21"/>
              </w:rPr>
              <w:t>HĐTN 6-THÁNG 10- HOÀNG XUÂN ÁNH_1792966222142.pdf</w:t>
            </w:r>
          </w:p>
        </w:tc>
        <w:tc>
          <w:tcPr>
            <w:tcW w:type="dxa" w:w="1296"/>
            <w:tcMar>
              <w:top w:w="60" w:type="dxa"/>
              <w:bottom w:w="60" w:type="dxa"/>
              <w:left w:w="70" w:type="dxa"/>
              <w:right w:w="70" w:type="dxa"/>
            </w:tcMar>
          </w:tcPr>
          <w:p>
            <w:pPr>
              <w:jc w:val="center"/>
            </w:pPr>
            <w:r>
              <w:rPr>
                <w:rFonts w:ascii="Times New Roman" w:hAnsi="Times New Roman"/>
                <w:sz w:val="21"/>
              </w:rPr>
              <w:t>10</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bl>
    <w:p>
      <w:pPr>
        <w:spacing w:after="80"/>
      </w:pPr>
    </w:p>
    <w:p>
      <w:pPr>
        <w:ind w:firstLine="720"/>
      </w:pPr>
      <w:r>
        <w:rPr>
          <w:b/>
        </w:rPr>
        <w:t>II. NHẬN XÉT CHI TIẾT TỪNG PHÂN MÔN:</w:t>
      </w:r>
    </w:p>
    <w:p>
      <w:pPr>
        <w:spacing w:line="288" w:lineRule="auto"/>
        <w:ind w:firstLine="720"/>
      </w:pPr>
      <w:r>
        <w:rPr>
          <w:b/>
          <w:color w:val="166534"/>
        </w:rPr>
        <w:t>1. Phân môn Đại số 7 (Tiết 10 đến Tiết 19 — 27 trang):</w:t>
        <w:br/>
      </w:r>
      <w:r>
        <w:t>• Ưu điểm: Soạn đầy đủ 10 tiết từ Bài 4 (Thứ tự thực hiện các phép tính. Quy tắc chuyển vế), Luyện tập chung, Bài tập cuối chương I đến Bài 5 (Làm quen số thập phân vô hạn tuần hoàn). Đúng tiến độ PPCT.</w:t>
        <w:br/>
        <w:t>• Cấu trúc: 4 hoạt động rõ nét, quy tắc chuyển vế và đổi dấu được giải thích cặn kẽ, bài tập luyện tập phân hóa tốt.</w:t>
        <w:br/>
        <w:t>• Kết luận: DUYỆT (Xếp loại: Tốt).</w:t>
      </w:r>
    </w:p>
    <w:p>
      <w:pPr>
        <w:spacing w:line="288" w:lineRule="auto"/>
        <w:ind w:firstLine="720"/>
      </w:pPr>
      <w:r>
        <w:rPr>
          <w:b/>
          <w:color w:val="166534"/>
        </w:rPr>
        <w:t>2. Phân môn Hình học 7 (Tiết 9 đến Tiết 18 — 44 trang):</w:t>
        <w:br/>
      </w:r>
      <w:r>
        <w:t>• Ưu điểm: Soạn công phu 10 tiết (Bài 11: Định lí và chứng minh định lí, Bài tập cuối chương III, Bài 12: Tổng các góc trong tam giác, Bài 13: Hai tam giác bằng nhau). Khớp 100% PPCT.</w:t>
        <w:br/>
        <w:t>• Cấu trúc: Các bước chứng minh hình học được trình bày bài bản, hình vẽ chuẩn xác, ký hiệu góc và tam giác rõ ràng, đảm bảo yêu cầu sư phạm.</w:t>
        <w:br/>
        <w:t>• Kết luận: DUYỆT (Xếp loại: Tốt).</w:t>
      </w:r>
    </w:p>
    <w:p>
      <w:pPr>
        <w:spacing w:line="288" w:lineRule="auto"/>
        <w:ind w:firstLine="720"/>
      </w:pPr>
      <w:r>
        <w:rPr>
          <w:b/>
          <w:color w:val="166534"/>
        </w:rPr>
        <w:t>3. Hoạt động trải nghiệm 6 (Tuần 5 đến Tuần 8 — 10 trang):</w:t>
        <w:br/>
      </w:r>
      <w:r>
        <w:t>• Ưu điểm: Soạn đủ 4 tiết theo chủ đề tháng 10: Chủ đề 2 (Khám phá bản thân và chăm sóc cuộc sống cá nhân). Tiến độ đạt 100%.</w:t>
        <w:br/>
        <w:t>• Cấu trúc: Thiết kế sinh động với trò chơi, thảo luận nhóm và bài tập tự liên hệ, giúp học sinh chủ động rèn luyện bản thân.</w:t>
        <w:br/>
        <w:t>• Kết luận: DUYỆT (Xếp loại: Tốt).</w:t>
      </w:r>
    </w:p>
    <w:p>
      <w:pPr>
        <w:spacing w:before="160"/>
      </w:pPr>
    </w:p>
    <w:tbl>
      <w:tblPr>
        <w:tblW w:type="auto" w:w="0"/>
        <w:jc w:val="center"/>
        <w:tblLook w:firstColumn="1" w:firstRow="1" w:lastColumn="0" w:lastRow="0" w:noHBand="0" w:noVBand="1" w:val="04A0"/>
      </w:tblPr>
      <w:tblGrid>
        <w:gridCol w:w="4680"/>
        <w:gridCol w:w="4680"/>
      </w:tblGrid>
      <w:tr>
        <w:tc>
          <w:tcPr>
            <w:tcW w:type="dxa" w:w="5040"/>
            <w:tcMar>
              <w:top w:w="0" w:type="dxa"/>
              <w:bottom w:w="0" w:type="dxa"/>
              <w:left w:w="0" w:type="dxa"/>
              <w:right w:w="0" w:type="dxa"/>
            </w:tcMar>
          </w:tcPr>
          <w:p>
            <w:pPr>
              <w:jc w:val="center"/>
            </w:pPr>
            <w:r>
              <w:rPr>
                <w:b/>
              </w:rPr>
              <w:t>GIÁO VIÊN ĐƯỢC KIỂM TRA</w:t>
              <w:br/>
            </w:r>
            <w:r>
              <w:t>(Ký nhận kết quả duyệt)</w:t>
              <w:br/>
              <w:br/>
              <w:br/>
              <w:br/>
              <w:br/>
            </w:r>
            <w:r>
              <w:t>Hoàng Xuân Ánh</w:t>
            </w:r>
          </w:p>
        </w:tc>
        <w:tc>
          <w:tcPr>
            <w:tcW w:type="dxa" w:w="5040"/>
            <w:tcMar>
              <w:top w:w="0" w:type="dxa"/>
              <w:bottom w:w="0" w:type="dxa"/>
              <w:left w:w="0" w:type="dxa"/>
              <w:right w:w="0" w:type="dxa"/>
            </w:tcMar>
          </w:tcPr>
          <w:p>
            <w:pPr>
              <w:jc w:val="center"/>
            </w:pPr>
            <w:r>
              <w:rPr>
                <w:b/>
              </w:rPr>
              <w:t>NGƯỜI KIỂM TRA (TỔ TRƯỞNG)</w:t>
              <w:br/>
            </w:r>
            <w:r>
              <w:t>(Ký và ghi rõ họ tên)</w:t>
              <w:br/>
              <w:br/>
              <w:br/>
              <w:br/>
              <w:br/>
            </w:r>
            <w:r>
              <w:t>Hoàng Tấn Thiên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288"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