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000"/>
        <w:gridCol w:w="5355"/>
      </w:tblGrid>
      <w:tr>
        <w:tc>
          <w:tcPr>
            <w:tcW w:type="dxa" w:w="4677"/>
          </w:tcPr>
          <w:p>
            <w:pPr>
              <w:spacing w:before="0" w:after="40" w:line="252" w:lineRule="auto"/>
              <w:jc w:val="center"/>
            </w:pPr>
            <w:r>
              <w:rPr>
                <w:rFonts w:ascii="Times New Roman" w:hAnsi="Times New Roman"/>
                <w:b/>
                <w:i w:val="0"/>
                <w:color w:val="000000"/>
                <w:sz w:val="23"/>
              </w:rPr>
              <w:t>TRƯỜNG THCS TRẦN PHÚ</w:t>
              <w:br/>
            </w:r>
            <w:r>
              <w:rPr>
                <w:rFonts w:ascii="Times New Roman" w:hAnsi="Times New Roman"/>
                <w:b/>
                <w:i w:val="0"/>
                <w:color w:val="000000"/>
                <w:sz w:val="23"/>
              </w:rPr>
              <w:t>TỔ TOÁN - TIN</w:t>
            </w:r>
          </w:p>
        </w:tc>
        <w:tc>
          <w:tcPr>
            <w:tcW w:type="dxa" w:w="4677"/>
          </w:tcPr>
          <w:p>
            <w:pPr>
              <w:spacing w:before="0" w:after="40" w:line="252" w:lineRule="auto"/>
              <w:jc w:val="center"/>
            </w:pPr>
            <w:r>
              <w:rPr>
                <w:rFonts w:ascii="Times New Roman" w:hAnsi="Times New Roman"/>
                <w:b/>
                <w:i w:val="0"/>
                <w:color w:val="000000"/>
                <w:sz w:val="23"/>
              </w:rPr>
              <w:t>CỘNG HÒA XÃ HỘI CHỦ NGHĨA VIỆT NAM</w:t>
              <w:br/>
            </w:r>
            <w:r>
              <w:rPr>
                <w:rFonts w:ascii="Times New Roman" w:hAnsi="Times New Roman"/>
                <w:b/>
                <w:i w:val="0"/>
                <w:color w:val="000000"/>
                <w:sz w:val="23"/>
              </w:rPr>
              <w:t>Độc lập - Tự do - Hạnh phúc</w:t>
            </w:r>
          </w:p>
        </w:tc>
      </w:tr>
    </w:tbl>
    <w:p>
      <w:pPr>
        <w:spacing w:before="160" w:after="280"/>
        <w:jc w:val="right"/>
      </w:pPr>
      <w:r>
        <w:rPr>
          <w:rFonts w:ascii="Times New Roman" w:hAnsi="Times New Roman"/>
          <w:b w:val="0"/>
          <w:i/>
          <w:color w:val="000000"/>
          <w:sz w:val="24"/>
        </w:rPr>
        <w:t>Xuân Đông, ngày 23 tháng 10 năm 2026</w:t>
      </w:r>
    </w:p>
    <w:p>
      <w:pPr>
        <w:spacing w:before="0" w:after="60"/>
        <w:jc w:val="center"/>
      </w:pPr>
      <w:r>
        <w:rPr>
          <w:rFonts w:ascii="Times New Roman" w:hAnsi="Times New Roman"/>
          <w:b/>
          <w:i w:val="0"/>
          <w:color w:val="000000"/>
          <w:sz w:val="28"/>
        </w:rPr>
        <w:t>BIÊN BẢN</w:t>
      </w:r>
    </w:p>
    <w:p>
      <w:pPr>
        <w:spacing w:before="0" w:after="40"/>
        <w:jc w:val="center"/>
      </w:pPr>
      <w:r>
        <w:rPr>
          <w:rFonts w:ascii="Times New Roman" w:hAnsi="Times New Roman"/>
          <w:b/>
          <w:i w:val="0"/>
          <w:color w:val="000000"/>
          <w:sz w:val="26"/>
        </w:rPr>
        <w:t>Thẩm định đề kiểm tra giữa học kì I môn Toán 7</w:t>
      </w:r>
    </w:p>
    <w:p>
      <w:pPr>
        <w:spacing w:before="0" w:after="280"/>
        <w:jc w:val="center"/>
      </w:pPr>
      <w:r>
        <w:rPr>
          <w:rFonts w:ascii="Times New Roman" w:hAnsi="Times New Roman"/>
          <w:b/>
          <w:i w:val="0"/>
          <w:color w:val="000000"/>
          <w:sz w:val="26"/>
        </w:rPr>
        <w:t>Năm học 2026–2027</w:t>
      </w:r>
    </w:p>
    <w:p>
      <w:pPr>
        <w:spacing w:before="200" w:after="80" w:line="276" w:lineRule="auto"/>
      </w:pPr>
      <w:r>
        <w:rPr>
          <w:rFonts w:ascii="Times New Roman" w:hAnsi="Times New Roman"/>
          <w:b/>
          <w:i w:val="0"/>
          <w:color w:val="000000"/>
          <w:sz w:val="26"/>
        </w:rPr>
        <w:t>I. THÔNG TIN THẨM ĐỊNH</w:t>
      </w:r>
    </w:p>
    <w:p>
      <w:pPr>
        <w:spacing w:before="0" w:after="80" w:line="276" w:lineRule="auto"/>
        <w:jc w:val="both"/>
      </w:pPr>
      <w:r>
        <w:rPr>
          <w:rFonts w:ascii="Times New Roman" w:hAnsi="Times New Roman"/>
          <w:b w:val="0"/>
          <w:i w:val="0"/>
          <w:color w:val="000000"/>
          <w:sz w:val="26"/>
        </w:rPr>
        <w:t>Đơn vị thẩm định: Tổ Toán - Tin, Trường THCS Trần Phú.</w:t>
      </w:r>
    </w:p>
    <w:p>
      <w:pPr>
        <w:spacing w:before="0" w:after="80" w:line="276" w:lineRule="auto"/>
        <w:jc w:val="both"/>
      </w:pPr>
      <w:r>
        <w:rPr>
          <w:rFonts w:ascii="Times New Roman" w:hAnsi="Times New Roman"/>
          <w:b w:val="0"/>
          <w:i w:val="0"/>
          <w:color w:val="000000"/>
          <w:sz w:val="26"/>
        </w:rPr>
        <w:t>Người chủ trì: Thầy Hoàng Tấn Thiên, Tổ trưởng chuyên môn.</w:t>
      </w:r>
    </w:p>
    <w:p>
      <w:pPr>
        <w:spacing w:before="0" w:after="80" w:line="276" w:lineRule="auto"/>
        <w:jc w:val="both"/>
      </w:pPr>
      <w:r>
        <w:rPr>
          <w:rFonts w:ascii="Times New Roman" w:hAnsi="Times New Roman"/>
          <w:b w:val="0"/>
          <w:i w:val="0"/>
          <w:color w:val="000000"/>
          <w:sz w:val="26"/>
        </w:rPr>
        <w:t>Giáo viên biên soạn: Nhóm giáo viên môn Toán lớp 7.</w:t>
      </w:r>
    </w:p>
    <w:p>
      <w:pPr>
        <w:spacing w:before="0" w:after="80" w:line="276" w:lineRule="auto"/>
        <w:jc w:val="both"/>
      </w:pPr>
      <w:r>
        <w:rPr>
          <w:rFonts w:ascii="Times New Roman" w:hAnsi="Times New Roman"/>
          <w:b w:val="0"/>
          <w:i w:val="0"/>
          <w:color w:val="000000"/>
          <w:sz w:val="26"/>
        </w:rPr>
        <w:t>Hồ sơ thẩm định: 02 bộ hồ sơ kiểm tra đánh giá giữa học kì I môn Toán 7, năm học 2026–2027 gồm:</w:t>
      </w:r>
    </w:p>
    <w:p>
      <w:pPr>
        <w:spacing w:before="0" w:after="80" w:line="276" w:lineRule="auto"/>
        <w:jc w:val="both"/>
      </w:pPr>
      <w:r>
        <w:rPr>
          <w:rFonts w:ascii="Times New Roman" w:hAnsi="Times New Roman"/>
          <w:b w:val="0"/>
          <w:i w:val="0"/>
          <w:color w:val="000000"/>
          <w:sz w:val="26"/>
        </w:rPr>
        <w:t>- Bộ đề Đại trà: Đề chính thức, đề dự phòng, khung ma trận và bản đặc tả đề kiểm tra giữa học kì I môn Toán 7.</w:t>
      </w:r>
    </w:p>
    <w:p>
      <w:pPr>
        <w:spacing w:before="0" w:after="80" w:line="276" w:lineRule="auto"/>
        <w:jc w:val="both"/>
      </w:pPr>
      <w:r>
        <w:rPr>
          <w:rFonts w:ascii="Times New Roman" w:hAnsi="Times New Roman"/>
          <w:b w:val="0"/>
          <w:i w:val="0"/>
          <w:color w:val="000000"/>
          <w:sz w:val="26"/>
        </w:rPr>
        <w:t>- Bộ đề Học sinh hòa nhập: Đề kiểm tra (trắc nghiệm kết hợp tự luận), khung ma trận và bản đặc tả dành cho học sinh hòa nhập môn Toán 7.</w:t>
      </w:r>
    </w:p>
    <w:p>
      <w:pPr>
        <w:spacing w:before="0" w:after="80" w:line="276" w:lineRule="auto"/>
        <w:jc w:val="both"/>
      </w:pPr>
      <w:r>
        <w:rPr>
          <w:rFonts w:ascii="Times New Roman" w:hAnsi="Times New Roman"/>
          <w:b w:val="0"/>
          <w:i w:val="0"/>
          <w:color w:val="000000"/>
          <w:sz w:val="26"/>
        </w:rPr>
        <w:t>Hình thức kiểm tra:</w:t>
      </w:r>
    </w:p>
    <w:p>
      <w:pPr>
        <w:spacing w:before="0" w:after="80" w:line="276" w:lineRule="auto"/>
        <w:jc w:val="both"/>
      </w:pPr>
      <w:r>
        <w:rPr>
          <w:rFonts w:ascii="Times New Roman" w:hAnsi="Times New Roman"/>
          <w:b w:val="0"/>
          <w:i w:val="0"/>
          <w:color w:val="000000"/>
          <w:sz w:val="26"/>
        </w:rPr>
        <w:t>- Đề đại trà: Tự luận 100%; thời gian làm bài: 60 phút; thang điểm: 10,0.</w:t>
      </w:r>
    </w:p>
    <w:p>
      <w:pPr>
        <w:spacing w:before="0" w:after="80" w:line="276" w:lineRule="auto"/>
        <w:jc w:val="both"/>
      </w:pPr>
      <w:r>
        <w:rPr>
          <w:rFonts w:ascii="Times New Roman" w:hAnsi="Times New Roman"/>
          <w:b w:val="0"/>
          <w:i w:val="0"/>
          <w:color w:val="000000"/>
          <w:sz w:val="26"/>
        </w:rPr>
        <w:t>- Đề học sinh hòa nhập: Trắc nghiệm kết hợp Tự luận (3,0 điểm trắc nghiệm + 7,0 điểm tự luận); thời gian làm bài: 60 phút; thang điểm: 10,0.</w:t>
      </w:r>
    </w:p>
    <w:p>
      <w:pPr>
        <w:spacing w:before="240" w:after="80" w:line="276" w:lineRule="auto"/>
      </w:pPr>
      <w:r>
        <w:rPr>
          <w:rFonts w:ascii="Times New Roman" w:hAnsi="Times New Roman"/>
          <w:b/>
          <w:i w:val="0"/>
          <w:color w:val="000000"/>
          <w:sz w:val="26"/>
        </w:rPr>
        <w:t>II. KẾT QUẢ THẨM ĐỊNH</w:t>
      </w:r>
    </w:p>
    <w:p>
      <w:pPr>
        <w:spacing w:before="80" w:after="60" w:line="276" w:lineRule="auto"/>
        <w:jc w:val="both"/>
      </w:pPr>
      <w:r>
        <w:rPr>
          <w:rFonts w:ascii="Times New Roman" w:hAnsi="Times New Roman"/>
          <w:b/>
          <w:i w:val="0"/>
          <w:color w:val="000000"/>
          <w:sz w:val="26"/>
        </w:rPr>
        <w:t>1. Ma trận và cơ cấu điểm</w:t>
      </w:r>
    </w:p>
    <w:p>
      <w:pPr>
        <w:spacing w:before="40" w:after="40" w:line="276" w:lineRule="auto"/>
        <w:jc w:val="both"/>
      </w:pPr>
      <w:r>
        <w:rPr>
          <w:rFonts w:ascii="Times New Roman" w:hAnsi="Times New Roman"/>
          <w:b/>
          <w:i w:val="0"/>
          <w:color w:val="000000"/>
          <w:sz w:val="26"/>
        </w:rPr>
        <w:t>a) Bộ đề đại trà:</w:t>
      </w:r>
    </w:p>
    <w:p>
      <w:pPr>
        <w:spacing w:before="0" w:after="80" w:line="276" w:lineRule="auto"/>
        <w:jc w:val="both"/>
      </w:pPr>
      <w:r>
        <w:rPr>
          <w:rFonts w:ascii="Times New Roman" w:hAnsi="Times New Roman"/>
          <w:b w:val="0"/>
          <w:i w:val="0"/>
          <w:color w:val="000000"/>
          <w:sz w:val="26"/>
        </w:rPr>
        <w:t>Theo hồ sơ, tổng điểm toàn bài là 10,0 điểm; mạch nội dung Số và Đại số chiếm 7,0 điểm (70%), Hình học và Đo lường chiếm 3,0 điểm (30%). Phân bố điểm theo mức độ nhận thức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6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Mức độ nhận thức</w:t>
            </w:r>
          </w:p>
        </w:tc>
        <w:tc>
          <w:tcPr>
            <w:tcW w:type="dxa" w:w="13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Điểm</w:t>
            </w:r>
          </w:p>
        </w:tc>
        <w:tc>
          <w:tcPr>
            <w:tcW w:type="dxa" w:w="13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Tỉ lệ</w:t>
            </w:r>
          </w:p>
        </w:tc>
        <w:tc>
          <w:tcPr>
            <w:tcW w:type="dxa" w:w="4155"/>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Đánh giá đối soát số học</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Nhận biết</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4,0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40%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Khớp 100% giữa Ma trận và HDC (Câu 1 đến 6)</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Thông hiểu</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Khớp 100% giữa Ma trận và HDC (Câu 7, 8)</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Vận dụng</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2,25*</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22,5%</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Lệch -0,25đ (Ma trận ghi 2,5đ; HDC chấm 2,25đ)</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Vận dụng cao</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0,75*</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7,5%</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Lệch +0,25đ (Ma trận ghi 0,5đ; HDC chấm 0,75đ)</w:t>
            </w:r>
          </w:p>
        </w:tc>
      </w:tr>
      <w:tr>
        <w:tc>
          <w:tcPr>
            <w:tcW w:type="dxa" w:w="2600"/>
            <w:tcMar>
              <w:top w:w="80" w:type="dxa"/>
              <w:bottom w:w="80" w:type="dxa"/>
              <w:left w:w="100" w:type="dxa"/>
              <w:right w:w="100" w:type="dxa"/>
            </w:tcMar>
          </w:tcPr>
          <w:p>
            <w:pPr>
              <w:spacing w:before="20" w:after="20"/>
              <w:jc w:val="left"/>
            </w:pPr>
            <w:r>
              <w:rPr>
                <w:rFonts w:ascii="Times New Roman" w:hAnsi="Times New Roman"/>
                <w:b/>
                <w:i w:val="0"/>
                <w:color w:val="000000"/>
                <w:sz w:val="24"/>
              </w:rPr>
              <w:t>Tổng cộng</w:t>
            </w:r>
          </w:p>
        </w:tc>
        <w:tc>
          <w:tcPr>
            <w:tcW w:type="dxa" w:w="1300"/>
            <w:tcMar>
              <w:top w:w="80" w:type="dxa"/>
              <w:bottom w:w="80" w:type="dxa"/>
              <w:left w:w="100" w:type="dxa"/>
              <w:right w:w="100" w:type="dxa"/>
            </w:tcMar>
          </w:tcPr>
          <w:p>
            <w:pPr>
              <w:spacing w:before="20" w:after="20"/>
              <w:jc w:val="center"/>
            </w:pPr>
            <w:r>
              <w:rPr>
                <w:rFonts w:ascii="Times New Roman" w:hAnsi="Times New Roman"/>
                <w:b/>
                <w:i w:val="0"/>
                <w:color w:val="000000"/>
                <w:sz w:val="24"/>
              </w:rPr>
              <w:t>10,0</w:t>
            </w:r>
          </w:p>
        </w:tc>
        <w:tc>
          <w:tcPr>
            <w:tcW w:type="dxa" w:w="1300"/>
            <w:tcMar>
              <w:top w:w="80" w:type="dxa"/>
              <w:bottom w:w="80" w:type="dxa"/>
              <w:left w:w="100" w:type="dxa"/>
              <w:right w:w="100" w:type="dxa"/>
            </w:tcMar>
          </w:tcPr>
          <w:p>
            <w:pPr>
              <w:spacing w:before="20" w:after="20"/>
              <w:jc w:val="center"/>
            </w:pPr>
            <w:r>
              <w:rPr>
                <w:rFonts w:ascii="Times New Roman" w:hAnsi="Times New Roman"/>
                <w:b/>
                <w:i w:val="0"/>
                <w:color w:val="000000"/>
                <w:sz w:val="24"/>
              </w:rPr>
              <w:t>100%</w:t>
            </w:r>
          </w:p>
        </w:tc>
        <w:tc>
          <w:tcPr>
            <w:tcW w:type="dxa" w:w="4155"/>
            <w:tcMar>
              <w:top w:w="80" w:type="dxa"/>
              <w:bottom w:w="80" w:type="dxa"/>
              <w:left w:w="100" w:type="dxa"/>
              <w:right w:w="100" w:type="dxa"/>
            </w:tcMar>
          </w:tcPr>
          <w:p>
            <w:pPr>
              <w:spacing w:before="20" w:after="20"/>
              <w:jc w:val="left"/>
            </w:pPr>
            <w:r>
              <w:rPr>
                <w:rFonts w:ascii="Times New Roman" w:hAnsi="Times New Roman"/>
                <w:b/>
                <w:i w:val="0"/>
                <w:color w:val="000000"/>
                <w:sz w:val="24"/>
              </w:rPr>
              <w:t>Tổng điểm toàn bài bảo đảm đúng 10,0 điểm</w:t>
            </w:r>
          </w:p>
        </w:tc>
      </w:tr>
    </w:tbl>
    <w:p>
      <w:pPr>
        <w:spacing w:before="60" w:after="120" w:line="276" w:lineRule="auto"/>
        <w:jc w:val="both"/>
      </w:pPr>
      <w:r>
        <w:rPr>
          <w:rFonts w:ascii="Times New Roman" w:hAnsi="Times New Roman"/>
          <w:b w:val="0"/>
          <w:i/>
          <w:color w:val="000000"/>
          <w:sz w:val="26"/>
        </w:rPr>
        <w:t>(*Lưu ý: Khung ma trận ghi Vận dụng 2,5 điểm [Câu 9: 1,5đ + Câu 10: 1,0đ] và Vận dụng cao 0,5 điểm [Câu 11]. Nhưng Hướng dẫn chấm thực tế ghi Câu 9 là 1,25 điểm và Câu 11 là 0,75 điểm. Cần chuẩn hóa lại biểu điểm để khớp tuyệt đối).</w:t>
      </w:r>
    </w:p>
    <w:p>
      <w:pPr>
        <w:spacing w:before="80" w:after="40" w:line="276" w:lineRule="auto"/>
        <w:jc w:val="both"/>
      </w:pPr>
      <w:r>
        <w:rPr>
          <w:rFonts w:ascii="Times New Roman" w:hAnsi="Times New Roman"/>
          <w:b/>
          <w:i w:val="0"/>
          <w:color w:val="000000"/>
          <w:sz w:val="26"/>
        </w:rPr>
        <w:t>b) Bộ đề học sinh hòa nhập (HSHN):</w:t>
      </w:r>
    </w:p>
    <w:p>
      <w:pPr>
        <w:spacing w:before="0" w:after="80" w:line="276" w:lineRule="auto"/>
        <w:jc w:val="both"/>
      </w:pPr>
      <w:r>
        <w:rPr>
          <w:rFonts w:ascii="Times New Roman" w:hAnsi="Times New Roman"/>
          <w:b w:val="0"/>
          <w:i w:val="0"/>
          <w:color w:val="000000"/>
          <w:sz w:val="26"/>
        </w:rPr>
        <w:t>Theo hồ sơ, tổng điểm toàn bài là 10,0 điểm; mạch nội dung Số và Đại số chiếm 6,5 điểm (65%), Hình học và Đo lường chiếm 3,5 điểm (35%). Phân bố điểm theo mức độ nhận thức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6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Mức độ nhận thức</w:t>
            </w:r>
          </w:p>
        </w:tc>
        <w:tc>
          <w:tcPr>
            <w:tcW w:type="dxa" w:w="13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Điểm</w:t>
            </w:r>
          </w:p>
        </w:tc>
        <w:tc>
          <w:tcPr>
            <w:tcW w:type="dxa" w:w="1300"/>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Tỉ lệ</w:t>
            </w:r>
          </w:p>
        </w:tc>
        <w:tc>
          <w:tcPr>
            <w:tcW w:type="dxa" w:w="4155"/>
            <w:tcMar>
              <w:top w:w="80" w:type="dxa"/>
              <w:bottom w:w="80" w:type="dxa"/>
              <w:left w:w="100" w:type="dxa"/>
              <w:right w:w="100" w:type="dxa"/>
            </w:tcMar>
            <w:shd w:fill="F2F2F2"/>
          </w:tcPr>
          <w:p>
            <w:pPr>
              <w:spacing w:before="20" w:after="20"/>
              <w:jc w:val="center"/>
            </w:pPr>
            <w:r>
              <w:rPr>
                <w:rFonts w:ascii="Times New Roman" w:hAnsi="Times New Roman"/>
                <w:b/>
                <w:i w:val="0"/>
                <w:color w:val="000000"/>
                <w:sz w:val="24"/>
              </w:rPr>
              <w:t>Đánh giá đối soát cấu trúc</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Nhận biết (Trắc nghiệm)</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6 câu trắc nghiệm khách quan (Câu 1 - 6)</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Nhận biết (Tự luận)</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4,0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40%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6 câu tự luận cơ bản (Câu 7, 8, 9, 10, 11, 12)</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Thông hiểu (Tự luận)</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30%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2 bài tự luận tính toán (Câu 13, 14)</w:t>
            </w:r>
          </w:p>
        </w:tc>
      </w:tr>
      <w:tr>
        <w:tc>
          <w:tcPr>
            <w:tcW w:type="dxa" w:w="2600"/>
            <w:tcMar>
              <w:top w:w="80" w:type="dxa"/>
              <w:bottom w:w="80" w:type="dxa"/>
              <w:left w:w="100" w:type="dxa"/>
              <w:right w:w="100" w:type="dxa"/>
            </w:tcMar>
          </w:tcPr>
          <w:p>
            <w:pPr>
              <w:spacing w:before="20" w:after="20"/>
              <w:jc w:val="left"/>
            </w:pPr>
            <w:r>
              <w:rPr>
                <w:rFonts w:ascii="Times New Roman" w:hAnsi="Times New Roman"/>
                <w:b w:val="0"/>
                <w:i w:val="0"/>
                <w:color w:val="000000"/>
                <w:sz w:val="24"/>
              </w:rPr>
              <w:t>Vận dụng / Vận dụng cao</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0,0</w:t>
            </w:r>
          </w:p>
        </w:tc>
        <w:tc>
          <w:tcPr>
            <w:tcW w:type="dxa" w:w="1300"/>
            <w:tcMar>
              <w:top w:w="80" w:type="dxa"/>
              <w:bottom w:w="80" w:type="dxa"/>
              <w:left w:w="100" w:type="dxa"/>
              <w:right w:w="100" w:type="dxa"/>
            </w:tcMar>
          </w:tcPr>
          <w:p>
            <w:pPr>
              <w:spacing w:before="20" w:after="20"/>
              <w:jc w:val="center"/>
            </w:pPr>
            <w:r>
              <w:rPr>
                <w:rFonts w:ascii="Times New Roman" w:hAnsi="Times New Roman"/>
                <w:b w:val="0"/>
                <w:i w:val="0"/>
                <w:color w:val="000000"/>
                <w:sz w:val="24"/>
              </w:rPr>
              <w:t>0%</w:t>
            </w:r>
          </w:p>
        </w:tc>
        <w:tc>
          <w:tcPr>
            <w:tcW w:type="dxa" w:w="4155"/>
            <w:tcMar>
              <w:top w:w="80" w:type="dxa"/>
              <w:bottom w:w="80" w:type="dxa"/>
              <w:left w:w="100" w:type="dxa"/>
              <w:right w:w="100" w:type="dxa"/>
            </w:tcMar>
          </w:tcPr>
          <w:p>
            <w:pPr>
              <w:spacing w:before="20" w:after="20"/>
              <w:jc w:val="left"/>
            </w:pPr>
            <w:r>
              <w:rPr>
                <w:rFonts w:ascii="Times New Roman" w:hAnsi="Times New Roman"/>
                <w:b w:val="0"/>
                <w:i w:val="0"/>
                <w:color w:val="000000"/>
                <w:sz w:val="24"/>
              </w:rPr>
              <w:t>Không bố trí mức phân hóa cho HS hòa nhập</w:t>
            </w:r>
          </w:p>
        </w:tc>
      </w:tr>
      <w:tr>
        <w:tc>
          <w:tcPr>
            <w:tcW w:type="dxa" w:w="2600"/>
            <w:tcMar>
              <w:top w:w="80" w:type="dxa"/>
              <w:bottom w:w="80" w:type="dxa"/>
              <w:left w:w="100" w:type="dxa"/>
              <w:right w:w="100" w:type="dxa"/>
            </w:tcMar>
          </w:tcPr>
          <w:p>
            <w:pPr>
              <w:spacing w:before="20" w:after="20"/>
              <w:jc w:val="left"/>
            </w:pPr>
            <w:r>
              <w:rPr>
                <w:rFonts w:ascii="Times New Roman" w:hAnsi="Times New Roman"/>
                <w:b/>
                <w:i w:val="0"/>
                <w:color w:val="000000"/>
                <w:sz w:val="24"/>
              </w:rPr>
              <w:t>Tổng cộng</w:t>
            </w:r>
          </w:p>
        </w:tc>
        <w:tc>
          <w:tcPr>
            <w:tcW w:type="dxa" w:w="1300"/>
            <w:tcMar>
              <w:top w:w="80" w:type="dxa"/>
              <w:bottom w:w="80" w:type="dxa"/>
              <w:left w:w="100" w:type="dxa"/>
              <w:right w:w="100" w:type="dxa"/>
            </w:tcMar>
          </w:tcPr>
          <w:p>
            <w:pPr>
              <w:spacing w:before="20" w:after="20"/>
              <w:jc w:val="center"/>
            </w:pPr>
            <w:r>
              <w:rPr>
                <w:rFonts w:ascii="Times New Roman" w:hAnsi="Times New Roman"/>
                <w:b/>
                <w:i w:val="0"/>
                <w:color w:val="000000"/>
                <w:sz w:val="24"/>
              </w:rPr>
              <w:t>10,0</w:t>
            </w:r>
          </w:p>
        </w:tc>
        <w:tc>
          <w:tcPr>
            <w:tcW w:type="dxa" w:w="1300"/>
            <w:tcMar>
              <w:top w:w="80" w:type="dxa"/>
              <w:bottom w:w="80" w:type="dxa"/>
              <w:left w:w="100" w:type="dxa"/>
              <w:right w:w="100" w:type="dxa"/>
            </w:tcMar>
          </w:tcPr>
          <w:p>
            <w:pPr>
              <w:spacing w:before="20" w:after="20"/>
              <w:jc w:val="center"/>
            </w:pPr>
            <w:r>
              <w:rPr>
                <w:rFonts w:ascii="Times New Roman" w:hAnsi="Times New Roman"/>
                <w:b/>
                <w:i w:val="0"/>
                <w:color w:val="000000"/>
                <w:sz w:val="24"/>
              </w:rPr>
              <w:t>100%</w:t>
            </w:r>
          </w:p>
        </w:tc>
        <w:tc>
          <w:tcPr>
            <w:tcW w:type="dxa" w:w="4155"/>
            <w:tcMar>
              <w:top w:w="80" w:type="dxa"/>
              <w:bottom w:w="80" w:type="dxa"/>
              <w:left w:w="100" w:type="dxa"/>
              <w:right w:w="100" w:type="dxa"/>
            </w:tcMar>
          </w:tcPr>
          <w:p>
            <w:pPr>
              <w:spacing w:before="20" w:after="20"/>
              <w:jc w:val="left"/>
            </w:pPr>
            <w:r>
              <w:rPr>
                <w:rFonts w:ascii="Times New Roman" w:hAnsi="Times New Roman"/>
                <w:b/>
                <w:i w:val="0"/>
                <w:color w:val="000000"/>
                <w:sz w:val="24"/>
              </w:rPr>
              <w:t>Cơ cấu chuẩn: 70% Nhận biết – 30% Thông hiểu</w:t>
            </w:r>
          </w:p>
        </w:tc>
      </w:tr>
    </w:tbl>
    <w:p>
      <w:pPr>
        <w:spacing w:before="60" w:after="160" w:line="276" w:lineRule="auto"/>
        <w:jc w:val="both"/>
      </w:pPr>
      <w:r>
        <w:rPr>
          <w:rFonts w:ascii="Times New Roman" w:hAnsi="Times New Roman"/>
          <w:b w:val="0"/>
          <w:i w:val="0"/>
          <w:color w:val="000000"/>
          <w:sz w:val="26"/>
        </w:rPr>
        <w:t>Cơ cấu điểm 70% Nhận biết và 30% Thông hiểu, không kiểm tra mức độ Vận dụng và Vận dụng cao là đúng định hướng đối với học sinh hòa nhập. Mức độ vừa sức cụ thể cần tiếp tục đối chiếu với Kế hoạch giáo dục cá nhân (KHGDCN) của học sinh tại trường.</w:t>
      </w:r>
    </w:p>
    <w:p>
      <w:pPr>
        <w:spacing w:before="120" w:after="60" w:line="276" w:lineRule="auto"/>
        <w:jc w:val="both"/>
      </w:pPr>
      <w:r>
        <w:rPr>
          <w:rFonts w:ascii="Times New Roman" w:hAnsi="Times New Roman"/>
          <w:b/>
          <w:i w:val="0"/>
          <w:color w:val="000000"/>
          <w:sz w:val="26"/>
        </w:rPr>
        <w:t>2. Nội dung cần chỉnh sửa</w:t>
      </w:r>
    </w:p>
    <w:p>
      <w:pPr>
        <w:spacing w:before="40" w:after="40" w:line="276" w:lineRule="auto"/>
        <w:jc w:val="both"/>
      </w:pPr>
      <w:r>
        <w:rPr>
          <w:rFonts w:ascii="Times New Roman" w:hAnsi="Times New Roman"/>
          <w:b/>
          <w:i w:val="0"/>
          <w:color w:val="000000"/>
          <w:sz w:val="26"/>
        </w:rPr>
        <w:t>A. CÁC LỖI XÁC ĐỊNH ĐƯỢC (BẮT BUỘC ĐIỀU CHỈNH):</w:t>
      </w:r>
    </w:p>
    <w:p>
      <w:pPr>
        <w:spacing w:before="0" w:after="80" w:line="276" w:lineRule="auto"/>
        <w:jc w:val="both"/>
      </w:pPr>
      <w:r>
        <w:rPr>
          <w:rFonts w:ascii="Times New Roman" w:hAnsi="Times New Roman"/>
          <w:b w:val="0"/>
          <w:i w:val="0"/>
          <w:color w:val="000000"/>
          <w:sz w:val="26"/>
        </w:rPr>
        <w:t xml:space="preserve">- Lỗi sao chép đáp án Câu 1b trong Hướng dẫn chấm Đề dự phòng: Đáp án Câu 1b của Đề dự phòng bị in nhầm nguyên văn đáp án Câu 1b của Đề chính thức. Đề bài yêu cầu tìm số đối của các số hữu tỉ: </w:t>
      </w:r>
      <m:oMath xmlns:mml="http://www.w3.org/1998/Math/MathML">
        <m:f>
          <m:fPr>
            <m:type m:val="bar"/>
          </m:fPr>
          <m:num>
            <m:r>
              <m:t>3</m:t>
            </m:r>
          </m:num>
          <m:den>
            <m:r>
              <m:t>4</m:t>
            </m:r>
          </m:den>
        </m:f>
        <m:r>
          <m:t>;</m:t>
        </m:r>
        <m:r>
          <m:rPr>
            <m:nor/>
          </m:rPr>
          <m:t> </m:t>
        </m:r>
        <m:r>
          <m:t>−0,5;</m:t>
        </m:r>
        <m:r>
          <m:rPr>
            <m:nor/>
          </m:rPr>
          <m:t> </m:t>
        </m:r>
        <m:r>
          <m:t>−</m:t>
        </m:r>
        <m:f>
          <m:fPr>
            <m:type m:val="bar"/>
          </m:fPr>
          <m:num>
            <m:r>
              <m:t>1</m:t>
            </m:r>
          </m:num>
          <m:den>
            <m:r>
              <m:t>13</m:t>
            </m:r>
          </m:den>
        </m:f>
        <m:r>
          <m:t>;</m:t>
        </m:r>
        <m:r>
          <m:rPr>
            <m:nor/>
          </m:rPr>
          <m:t> </m:t>
        </m:r>
        <m:r>
          <m:t>0</m:t>
        </m:r>
      </m:oMath>
      <w:r>
        <w:rPr>
          <w:rFonts w:ascii="Times New Roman" w:hAnsi="Times New Roman"/>
          <w:b w:val="0"/>
          <w:i w:val="0"/>
          <w:color w:val="000000"/>
          <w:sz w:val="26"/>
        </w:rPr>
        <w:t xml:space="preserve">, nhưng phần Hướng dẫn chấm lại ghi: "Số đối của các số hữu tỉ lần lượt là: </w:t>
      </w:r>
      <m:oMath xmlns:mml="http://www.w3.org/1998/Math/MathML">
        <m:r>
          <m:t>−</m:t>
        </m:r>
        <m:f>
          <m:fPr>
            <m:type m:val="bar"/>
          </m:fPr>
          <m:num>
            <m:r>
              <m:t>4</m:t>
            </m:r>
          </m:num>
          <m:den>
            <m:r>
              <m:t>9</m:t>
            </m:r>
          </m:den>
        </m:f>
        <m:r>
          <m:t>;</m:t>
        </m:r>
        <m:r>
          <m:rPr>
            <m:nor/>
          </m:rPr>
          <m:t> </m:t>
        </m:r>
        <m:r>
          <m:t>2,5;</m:t>
        </m:r>
        <m:r>
          <m:rPr>
            <m:nor/>
          </m:rPr>
          <m:t> </m:t>
        </m:r>
        <m:r>
          <m:t>3</m:t>
        </m:r>
        <m:f>
          <m:fPr>
            <m:type m:val="bar"/>
          </m:fPr>
          <m:num>
            <m:r>
              <m:t>1</m:t>
            </m:r>
          </m:num>
          <m:den>
            <m:r>
              <m:t>4</m:t>
            </m:r>
          </m:den>
        </m:f>
        <m:r>
          <m:t>;</m:t>
        </m:r>
        <m:r>
          <m:rPr>
            <m:nor/>
          </m:rPr>
          <m:t> </m:t>
        </m:r>
        <m:r>
          <m:t>0</m:t>
        </m:r>
      </m:oMath>
      <w:r>
        <w:rPr>
          <w:rFonts w:ascii="Times New Roman" w:hAnsi="Times New Roman"/>
          <w:b w:val="0"/>
          <w:i w:val="0"/>
          <w:color w:val="000000"/>
          <w:sz w:val="26"/>
        </w:rPr>
        <w:t xml:space="preserve">". Đề nghị sửa lại đáp án đúng là: </w:t>
      </w:r>
      <m:oMath xmlns:mml="http://www.w3.org/1998/Math/MathML">
        <m:r>
          <m:t>−</m:t>
        </m:r>
        <m:f>
          <m:fPr>
            <m:type m:val="bar"/>
          </m:fPr>
          <m:num>
            <m:r>
              <m:t>3</m:t>
            </m:r>
          </m:num>
          <m:den>
            <m:r>
              <m:t>4</m:t>
            </m:r>
          </m:den>
        </m:f>
        <m:r>
          <m:t>;</m:t>
        </m:r>
        <m:r>
          <m:rPr>
            <m:nor/>
          </m:rPr>
          <m:t> </m:t>
        </m:r>
        <m:r>
          <m:t>0,5;</m:t>
        </m:r>
        <m:r>
          <m:rPr>
            <m:nor/>
          </m:rPr>
          <m:t> </m:t>
        </m:r>
        <m:f>
          <m:fPr>
            <m:type m:val="bar"/>
          </m:fPr>
          <m:num>
            <m:r>
              <m:t>1</m:t>
            </m:r>
          </m:num>
          <m:den>
            <m:r>
              <m:t>13</m:t>
            </m:r>
          </m:den>
        </m:f>
        <m:r>
          <m:t>;</m:t>
        </m:r>
        <m:r>
          <m:rPr>
            <m:nor/>
          </m:rPr>
          <m:t> </m:t>
        </m:r>
        <m:r>
          <m:t>0</m:t>
        </m:r>
      </m:oMath>
      <w:r>
        <w:rPr>
          <w:rFonts w:ascii="Times New Roman" w:hAnsi="Times New Roman"/>
          <w:b w:val="0"/>
          <w:i w:val="0"/>
          <w:color w:val="000000"/>
          <w:sz w:val="26"/>
        </w:rPr>
        <w:t>.</w:t>
      </w:r>
    </w:p>
    <w:p>
      <w:pPr>
        <w:spacing w:before="0" w:after="80" w:line="276" w:lineRule="auto"/>
        <w:jc w:val="both"/>
      </w:pPr>
      <w:r>
        <w:rPr>
          <w:rFonts w:ascii="Times New Roman" w:hAnsi="Times New Roman"/>
          <w:b w:val="0"/>
          <w:i w:val="0"/>
          <w:color w:val="000000"/>
          <w:sz w:val="26"/>
        </w:rPr>
        <w:t>- Lệch biểu điểm giữa Ma trận và Hướng dẫn chấm (Câu 9 và Câu 11): Trong Khung ma trận, Câu 9 (mức Vận dụng) ghi 1,5 điểm và Câu 11 (mức Vận dụng cao) ghi 0,5 điểm. Tuy nhiên trong Hướng dẫn chấm, Câu 9 chỉ tính 1,25 điểm (9a: 0,5đ; 9b: 0,75đ) và Câu 11 lại tính 0,75 điểm (11a: 0,25đ; 11b: 0,5đ). Đề nghị nâng Câu 9a lên 0,75 điểm để Câu 9 đủ 1,5 điểm; đồng thời điều chỉnh Câu 11 về đúng 0,5 điểm (11a: 0,25đ; 11b: 0,25đ) nhằm khớp chính xác 100% với Ma trận đã duyệt.</w:t>
      </w:r>
    </w:p>
    <w:p>
      <w:pPr>
        <w:spacing w:before="0" w:after="80" w:line="276" w:lineRule="auto"/>
        <w:jc w:val="both"/>
      </w:pPr>
      <w:r>
        <w:rPr>
          <w:rFonts w:ascii="Times New Roman" w:hAnsi="Times New Roman"/>
          <w:b w:val="0"/>
          <w:i w:val="0"/>
          <w:color w:val="000000"/>
          <w:sz w:val="26"/>
        </w:rPr>
        <w:t>- Trùng lặp số liệu Câu 11 của Đề dự phòng: Câu 11 Đề dự phòng giữ y nguyên từng câu chữ, dữ kiện và số liệu của Đề chính thức (bạn An mang 200.000 đồng đi siêu thị mua thịt heo và khoai tây). Đề nghị đổi mới số liệu độc lập cho Đề dự phòng để bảo đảm tính khách quan, bảo mật.</w:t>
      </w:r>
    </w:p>
    <w:p>
      <w:pPr>
        <w:spacing w:before="0" w:after="80" w:line="276" w:lineRule="auto"/>
        <w:jc w:val="both"/>
      </w:pPr>
      <w:r>
        <w:rPr>
          <w:rFonts w:ascii="Times New Roman" w:hAnsi="Times New Roman"/>
          <w:b w:val="0"/>
          <w:i w:val="0"/>
          <w:color w:val="000000"/>
          <w:sz w:val="26"/>
        </w:rPr>
        <w:t>- Lỗi chính tả tiếng Việt trong Câu 11: Từ ngữ "thịt heo" trong nội dung đề bài và đáp án Câu 11 của cả hai đề bị viết sai chính tả thành "thịch heo", "thịch" (lặp lại 4 lần). Đề nghị sửa lại chuẩn chính tả tiếng Việt là "thịt heo".</w:t>
      </w:r>
    </w:p>
    <w:p>
      <w:pPr>
        <w:spacing w:before="80" w:after="40" w:line="276" w:lineRule="auto"/>
        <w:jc w:val="both"/>
      </w:pPr>
      <w:r>
        <w:rPr>
          <w:rFonts w:ascii="Times New Roman" w:hAnsi="Times New Roman"/>
          <w:b/>
          <w:i w:val="0"/>
          <w:color w:val="000000"/>
          <w:sz w:val="26"/>
        </w:rPr>
        <w:t>B. CÁC ĐIỂM CẦN XÁC MINH VÀ GỢI Ý CẢI THIỆN:</w:t>
      </w:r>
    </w:p>
    <w:p>
      <w:pPr>
        <w:spacing w:before="0" w:after="80" w:line="276" w:lineRule="auto"/>
        <w:jc w:val="both"/>
      </w:pPr>
      <w:r>
        <w:rPr>
          <w:rFonts w:ascii="Times New Roman" w:hAnsi="Times New Roman"/>
          <w:b w:val="0"/>
          <w:i w:val="0"/>
          <w:color w:val="000000"/>
          <w:sz w:val="26"/>
        </w:rPr>
        <w:t>- Khớp ký hiệu chỉ mục câu giữa Bản đặc tả và Đề thi HSHN: Trong Bản đặc tả HSHN mục Chủ đề 1 ghi: "Câu 1; 2; 3; 4 Câu 7 a, b Câu 8 a, b" vào cột Nhận biết, trong khi đề thực tế Câu 8 là một câu viết lũy thừa gồm hai ý a và b (0,5 điểm). Cần rà soát và chuẩn hóa lại cách ghi số câu trong Bản đặc tả cho khớp 1-1 với Đề thi.</w:t>
      </w:r>
    </w:p>
    <w:p>
      <w:pPr>
        <w:spacing w:before="0" w:after="80" w:line="276" w:lineRule="auto"/>
        <w:jc w:val="both"/>
      </w:pPr>
      <w:r>
        <w:rPr>
          <w:rFonts w:ascii="Times New Roman" w:hAnsi="Times New Roman"/>
          <w:b w:val="0"/>
          <w:i w:val="0"/>
          <w:color w:val="000000"/>
          <w:sz w:val="26"/>
        </w:rPr>
        <w:t xml:space="preserve">- Rà soát đối chiếu Câu 13 (2,0 điểm Tự luận Đề HSHN) với Kế hoạch giáo dục cá nhân: Câu 13 gồm 2 biểu thức tính toán phân số và lũy thừa </w:t>
      </w:r>
      <m:oMath xmlns:mml="http://www.w3.org/1998/Math/MathML">
        <m:r>
          <m:t>A=</m:t>
        </m:r>
        <m:sSup>
          <m:e>
            <m:r>
              <m:t>(−</m:t>
            </m:r>
            <m:f>
              <m:fPr>
                <m:type m:val="bar"/>
              </m:fPr>
              <m:num>
                <m:r>
                  <m:t>1</m:t>
                </m:r>
              </m:num>
              <m:den>
                <m:r>
                  <m:t>2</m:t>
                </m:r>
              </m:den>
            </m:f>
            <m:r>
              <m:t>)</m:t>
            </m:r>
          </m:e>
          <m:sup>
            <m:r>
              <m:t>3</m:t>
            </m:r>
          </m:sup>
        </m:sSup>
        <m:r>
          <m:t>+</m:t>
        </m:r>
        <m:f>
          <m:fPr>
            <m:type m:val="bar"/>
          </m:fPr>
          <m:num>
            <m:r>
              <m:t>5</m:t>
            </m:r>
          </m:num>
          <m:den>
            <m:r>
              <m:t>8</m:t>
            </m:r>
          </m:den>
        </m:f>
        <m:r>
          <m:t>−</m:t>
        </m:r>
        <m:sSup>
          <m:e>
            <m:r>
              <m:t>(</m:t>
            </m:r>
            <m:f>
              <m:fPr>
                <m:type m:val="bar"/>
              </m:fPr>
              <m:num>
                <m:r>
                  <m:t>3</m:t>
                </m:r>
              </m:num>
              <m:den>
                <m:r>
                  <m:t>4</m:t>
                </m:r>
              </m:den>
            </m:f>
            <m:r>
              <m:t>)</m:t>
            </m:r>
          </m:e>
          <m:sup>
            <m:r>
              <m:t>0</m:t>
            </m:r>
          </m:sup>
        </m:sSup>
      </m:oMath>
      <w:r>
        <w:rPr>
          <w:rFonts w:ascii="Times New Roman" w:hAnsi="Times New Roman"/>
          <w:b w:val="0"/>
          <w:i w:val="0"/>
          <w:color w:val="000000"/>
          <w:sz w:val="26"/>
        </w:rPr>
        <w:t xml:space="preserve"> và biểu thức </w:t>
      </w:r>
      <m:oMath xmlns:mml="http://www.w3.org/1998/Math/MathML">
        <m:r>
          <m:t>B</m:t>
        </m:r>
      </m:oMath>
      <w:r>
        <w:rPr>
          <w:rFonts w:ascii="Times New Roman" w:hAnsi="Times New Roman"/>
          <w:b w:val="0"/>
          <w:i w:val="0"/>
          <w:color w:val="000000"/>
          <w:sz w:val="26"/>
        </w:rPr>
        <w:t xml:space="preserve"> kết hợp nhiều phép tính. Cần đối chiếu với Kế hoạch giáo dục cá nhân (KHGDCN) của học sinh để xem xét việc tinh giản các bước tính trung gian nếu cần thiết.</w:t>
      </w:r>
    </w:p>
    <w:p>
      <w:pPr>
        <w:spacing w:before="0" w:after="80" w:line="276" w:lineRule="auto"/>
        <w:jc w:val="both"/>
      </w:pPr>
      <w:r>
        <w:rPr>
          <w:rFonts w:ascii="Times New Roman" w:hAnsi="Times New Roman"/>
          <w:b w:val="0"/>
          <w:i w:val="0"/>
          <w:color w:val="000000"/>
          <w:sz w:val="26"/>
        </w:rPr>
        <w:t xml:space="preserve">- Ký hiệu Toán học và Hình học (Gợi ý cải thiện): Bổ sung dấu mũ góc cho các góc trong đề bài và đáp án (viết </w:t>
      </w:r>
      <m:oMath xmlns:mml="http://www.w3.org/1998/Math/MathML">
        <m:acc>
          <m:accPr>
            <m:chr m:val="̂"/>
          </m:accPr>
          <m:e>
            <m:r>
              <m:t>M</m:t>
            </m:r>
          </m:e>
        </m:acc>
        <m:r>
          <m:t>,</m:t>
        </m:r>
        <m:acc>
          <m:accPr>
            <m:chr m:val="̂"/>
          </m:accPr>
          <m:e>
            <m:r>
              <m:t>N</m:t>
            </m:r>
          </m:e>
        </m:acc>
        <m:r>
          <m:t>,</m:t>
        </m:r>
        <m:acc>
          <m:accPr>
            <m:chr m:val="̂"/>
          </m:accPr>
          <m:e>
            <m:r>
              <m:t>P</m:t>
            </m:r>
          </m:e>
        </m:acc>
        <m:r>
          <m:t>,</m:t>
        </m:r>
        <m:acc>
          <m:accPr>
            <m:chr m:val="̂"/>
          </m:accPr>
          <m:e>
            <m:r>
              <m:t>aMN</m:t>
            </m:r>
          </m:e>
        </m:acc>
        <m:r>
          <m:t>,</m:t>
        </m:r>
        <m:acc>
          <m:accPr>
            <m:chr m:val="̂"/>
          </m:accPr>
          <m:e>
            <m:r>
              <m:t>MNb</m:t>
            </m:r>
          </m:e>
        </m:acc>
      </m:oMath>
      <w:r>
        <w:rPr>
          <w:rFonts w:ascii="Times New Roman" w:hAnsi="Times New Roman"/>
          <w:b w:val="0"/>
          <w:i w:val="0"/>
          <w:color w:val="000000"/>
          <w:sz w:val="26"/>
        </w:rPr>
        <w:t xml:space="preserve"> thay vì viết </w:t>
      </w:r>
      <m:oMath xmlns:mml="http://www.w3.org/1998/Math/MathML">
        <m:r>
          <m:t>M,N</m:t>
        </m:r>
      </m:oMath>
      <w:r>
        <w:rPr>
          <w:rFonts w:ascii="Times New Roman" w:hAnsi="Times New Roman"/>
          <w:b w:val="0"/>
          <w:i w:val="0"/>
          <w:color w:val="000000"/>
          <w:sz w:val="26"/>
        </w:rPr>
        <w:t xml:space="preserve">, góc </w:t>
      </w:r>
      <m:oMath xmlns:mml="http://www.w3.org/1998/Math/MathML">
        <m:r>
          <m:t>P</m:t>
        </m:r>
      </m:oMath>
      <w:r>
        <w:rPr>
          <w:rFonts w:ascii="Times New Roman" w:hAnsi="Times New Roman"/>
          <w:b w:val="0"/>
          <w:i w:val="0"/>
          <w:color w:val="000000"/>
          <w:sz w:val="26"/>
        </w:rPr>
        <w:t xml:space="preserve">); bổ sung ký hiệu tam giác </w:t>
      </w:r>
      <m:oMath xmlns:mml="http://www.w3.org/1998/Math/MathML">
        <m:r>
          <m:t>Δ</m:t>
        </m:r>
      </m:oMath>
      <w:r>
        <w:rPr>
          <w:rFonts w:ascii="Times New Roman" w:hAnsi="Times New Roman"/>
          <w:b w:val="0"/>
          <w:i w:val="0"/>
          <w:color w:val="000000"/>
          <w:sz w:val="26"/>
        </w:rPr>
        <w:t xml:space="preserve"> (viết </w:t>
      </w:r>
      <m:oMath xmlns:mml="http://www.w3.org/1998/Math/MathML">
        <m:r>
          <m:t>ΔABC,ΔABD=ΔAED</m:t>
        </m:r>
      </m:oMath>
      <w:r>
        <w:rPr>
          <w:rFonts w:ascii="Times New Roman" w:hAnsi="Times New Roman"/>
          <w:b w:val="0"/>
          <w:i w:val="0"/>
          <w:color w:val="000000"/>
          <w:sz w:val="26"/>
        </w:rPr>
        <w:t xml:space="preserve"> thay vì viết </w:t>
      </w:r>
      <m:oMath xmlns:mml="http://www.w3.org/1998/Math/MathML">
        <m:r>
          <m:t>ABC,ABD=AED</m:t>
        </m:r>
      </m:oMath>
      <w:r>
        <w:rPr>
          <w:rFonts w:ascii="Times New Roman" w:hAnsi="Times New Roman"/>
          <w:b w:val="0"/>
          <w:i w:val="0"/>
          <w:color w:val="000000"/>
          <w:sz w:val="26"/>
        </w:rPr>
        <w:t>).</w:t>
      </w:r>
    </w:p>
    <w:p>
      <w:pPr>
        <w:spacing w:before="0" w:after="80" w:line="276" w:lineRule="auto"/>
        <w:jc w:val="both"/>
      </w:pPr>
      <w:r>
        <w:rPr>
          <w:rFonts w:ascii="Times New Roman" w:hAnsi="Times New Roman"/>
          <w:b w:val="0"/>
          <w:i w:val="0"/>
          <w:color w:val="000000"/>
          <w:sz w:val="26"/>
        </w:rPr>
        <w:t>- Kỹ thuật trình bày văn bản (Gợi ý cải thiện): Phần trắc nghiệm đề HSHN hiện đang chèn bằng các mảnh ảnh cắt (.png); khuyến khích chuyển đổi sang công thức Word thông thường để bản in sắc nét, đồng bộ.</w:t>
      </w:r>
    </w:p>
    <w:p>
      <w:pPr>
        <w:spacing w:before="200" w:after="80" w:line="276" w:lineRule="auto"/>
      </w:pPr>
      <w:r>
        <w:rPr>
          <w:rFonts w:ascii="Times New Roman" w:hAnsi="Times New Roman"/>
          <w:b/>
          <w:i w:val="0"/>
          <w:color w:val="000000"/>
          <w:sz w:val="26"/>
        </w:rPr>
        <w:t>III. KẾT LUẬN VÀ KIẾN NGHỊ</w:t>
      </w:r>
    </w:p>
    <w:p>
      <w:pPr>
        <w:spacing w:before="0" w:after="80" w:line="276" w:lineRule="auto"/>
        <w:jc w:val="both"/>
      </w:pPr>
      <w:r>
        <w:rPr>
          <w:rFonts w:ascii="Times New Roman" w:hAnsi="Times New Roman"/>
          <w:b w:val="0"/>
          <w:i w:val="0"/>
          <w:color w:val="000000"/>
          <w:sz w:val="26"/>
        </w:rPr>
        <w:t>Hồ sơ Đề kiểm tra giữa học kì I môn Toán 7 (cả đề đại trà và đề học sinh hòa nhập) được biên soạn nghiêm túc, bám sát Chương trình GDPT 2018.</w:t>
      </w:r>
    </w:p>
    <w:p>
      <w:pPr>
        <w:spacing w:before="0" w:after="80" w:line="276" w:lineRule="auto"/>
        <w:jc w:val="both"/>
      </w:pPr>
      <w:r>
        <w:rPr>
          <w:rFonts w:ascii="Times New Roman" w:hAnsi="Times New Roman"/>
          <w:b w:val="0"/>
          <w:i w:val="0"/>
          <w:color w:val="000000"/>
          <w:sz w:val="26"/>
        </w:rPr>
        <w:t>Kết luận: CẦN CHỈNH SỬA các lỗi xác định được nêu tại mục II.2.A trước khi trình Ban Giám hiệu phê duyệt và tổ chức in sao đề kiểm tra.</w:t>
      </w:r>
    </w:p>
    <w:p>
      <w:pPr>
        <w:spacing w:before="0" w:after="80" w:line="276" w:lineRule="auto"/>
        <w:jc w:val="both"/>
      </w:pPr>
      <w:r>
        <w:rPr>
          <w:rFonts w:ascii="Times New Roman" w:hAnsi="Times New Roman"/>
          <w:b w:val="0"/>
          <w:i w:val="0"/>
          <w:color w:val="000000"/>
          <w:sz w:val="26"/>
        </w:rPr>
        <w:t>Giáo viên biên soạn thực hiện chỉnh sửa, hoàn thiện đề thi, ma trận, bản đặc tả và hướng dẫn chấm; Tổ trưởng chuyên môn kiểm tra lại trước khi trình Ban Giám hiệu phê duyệt.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3100"/>
          </w:tcPr>
          <w:p>
            <w:pPr>
              <w:spacing w:before="160" w:after="1000"/>
              <w:jc w:val="center"/>
            </w:pPr>
            <w:r>
              <w:rPr>
                <w:rFonts w:ascii="Times New Roman" w:hAnsi="Times New Roman"/>
                <w:b/>
                <w:i w:val="0"/>
                <w:color w:val="000000"/>
                <w:sz w:val="24"/>
              </w:rPr>
              <w:t>GIÁO VIÊN BIÊN SOẠN</w:t>
            </w:r>
          </w:p>
        </w:tc>
        <w:tc>
          <w:tcPr>
            <w:tcW w:type="dxa" w:w="3100"/>
          </w:tcPr>
          <w:p>
            <w:pPr>
              <w:spacing w:before="160" w:after="1000"/>
              <w:jc w:val="center"/>
            </w:pPr>
            <w:r>
              <w:rPr>
                <w:rFonts w:ascii="Times New Roman" w:hAnsi="Times New Roman"/>
                <w:b/>
                <w:i w:val="0"/>
                <w:color w:val="000000"/>
                <w:sz w:val="24"/>
              </w:rPr>
              <w:t>TỔ TRƯỞNG CHUYÊN MÔN</w:t>
            </w:r>
          </w:p>
        </w:tc>
        <w:tc>
          <w:tcPr>
            <w:tcW w:type="dxa" w:w="3155"/>
          </w:tcPr>
          <w:p>
            <w:pPr>
              <w:spacing w:before="160" w:after="1000"/>
              <w:jc w:val="center"/>
            </w:pPr>
            <w:r>
              <w:rPr>
                <w:rFonts w:ascii="Times New Roman" w:hAnsi="Times New Roman"/>
                <w:b/>
                <w:i w:val="0"/>
                <w:color w:val="000000"/>
                <w:sz w:val="24"/>
              </w:rPr>
              <w:t>BAN GIÁM HIỆU DUYỆT</w:t>
            </w:r>
          </w:p>
        </w:tc>
      </w:tr>
      <w:tr>
        <w:tc>
          <w:tcPr>
            <w:tcW w:type="dxa" w:w="3100"/>
          </w:tcPr>
          <w:p>
            <w:pPr>
              <w:spacing w:before="0" w:after="120"/>
              <w:jc w:val="center"/>
            </w:pPr>
            <w:r>
              <w:rPr>
                <w:rFonts w:ascii="Times New Roman" w:hAnsi="Times New Roman"/>
                <w:b/>
                <w:i w:val="0"/>
                <w:color w:val="000000"/>
                <w:sz w:val="26"/>
              </w:rPr>
              <w:t>Nhóm GV Toán 7</w:t>
            </w:r>
          </w:p>
        </w:tc>
        <w:tc>
          <w:tcPr>
            <w:tcW w:type="dxa" w:w="3100"/>
          </w:tcPr>
          <w:p>
            <w:pPr>
              <w:spacing w:before="0" w:after="120"/>
              <w:jc w:val="center"/>
            </w:pPr>
            <w:r>
              <w:rPr>
                <w:rFonts w:ascii="Times New Roman" w:hAnsi="Times New Roman"/>
                <w:b/>
                <w:i w:val="0"/>
                <w:color w:val="000000"/>
                <w:sz w:val="26"/>
              </w:rPr>
              <w:t>Hoàng Tấn Thiên</w:t>
            </w:r>
          </w:p>
        </w:tc>
        <w:tc>
          <w:tcPr>
            <w:tcW w:type="dxa" w:w="3155"/>
          </w:tcPr>
          <w:p>
            <w:pPr>
              <w:spacing w:before="0" w:after="120"/>
              <w:jc w:val="center"/>
            </w:pPr>
            <w:r>
              <w:rPr>
                <w:rFonts w:ascii="Times New Roman" w:hAnsi="Times New Roman"/>
                <w:b/>
                <w:i w:val="0"/>
                <w:color w:val="000000"/>
                <w:sz w:val="26"/>
              </w:rPr>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