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320"/>
            <w:tcMar>
              <w:top w:w="0" w:type="dxa"/>
              <w:bottom w:w="0" w:type="dxa"/>
              <w:left w:w="0" w:type="dxa"/>
              <w:right w:w="0" w:type="dxa"/>
            </w:tcMar>
          </w:tcPr>
          <w:p>
            <w:pPr>
              <w:spacing w:line="276" w:lineRule="auto" w:after="40"/>
              <w:jc w:val="center"/>
            </w:pPr>
            <w:r>
              <w:rPr>
                <w:rFonts w:ascii="Times New Roman" w:hAnsi="Times New Roman"/>
                <w:sz w:val="22"/>
              </w:rPr>
              <w:t>TRƯỜNG THCS TRẦN PHÚ</w:t>
              <w:br/>
            </w:r>
            <w:r>
              <w:rPr>
                <w:rFonts w:ascii="Times New Roman" w:hAnsi="Times New Roman"/>
                <w:b/>
                <w:sz w:val="22"/>
              </w:rPr>
              <w:t>TỔ TOÁN – TIN</w:t>
              <w:br/>
            </w:r>
            <w:r>
              <w:rPr>
                <w:rFonts w:ascii="Times New Roman" w:hAnsi="Times New Roman"/>
                <w:sz w:val="22"/>
              </w:rPr>
              <w:t>Lưu hành nội bộ</w:t>
            </w:r>
          </w:p>
        </w:tc>
        <w:tc>
          <w:tcPr>
            <w:tcW w:type="dxa" w:w="5040"/>
            <w:tcMar>
              <w:top w:w="0" w:type="dxa"/>
              <w:bottom w:w="0" w:type="dxa"/>
              <w:left w:w="0" w:type="dxa"/>
              <w:right w:w="0" w:type="dxa"/>
            </w:tcMar>
          </w:tcPr>
          <w:p>
            <w:pPr>
              <w:spacing w:line="276" w:lineRule="auto" w:after="40"/>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i/>
                <w:sz w:val="24"/>
              </w:rPr>
              <w:t>Xuân Đông, ngày 22 tháng 10 năm 2026</w:t>
            </w:r>
          </w:p>
        </w:tc>
      </w:tr>
    </w:tbl>
    <w:p>
      <w:pPr>
        <w:spacing w:after="120"/>
      </w:pPr>
    </w:p>
    <w:p>
      <w:pPr>
        <w:spacing w:before="0" w:after="60" w:line="288" w:lineRule="auto"/>
        <w:jc w:val="center"/>
      </w:pPr>
      <w:r>
        <w:rPr>
          <w:rFonts w:ascii="Times New Roman" w:hAnsi="Times New Roman"/>
          <w:b/>
          <w:i w:val="0"/>
          <w:sz w:val="30"/>
        </w:rPr>
        <w:t>TÀI LIỆU HƯỚNG DẪN TRỌNG TÂM &amp; NHỮNG ĐIỂM CỐT TỬ CẦN CHÚ Ý</w:t>
      </w:r>
    </w:p>
    <w:p>
      <w:pPr>
        <w:spacing w:before="0" w:after="60" w:line="288" w:lineRule="auto"/>
        <w:jc w:val="center"/>
      </w:pPr>
      <w:r>
        <w:rPr>
          <w:rFonts w:ascii="Times New Roman" w:hAnsi="Times New Roman"/>
          <w:b/>
          <w:i w:val="0"/>
          <w:sz w:val="28"/>
        </w:rPr>
        <w:t>DÀNH RIÊNG CHO TỔ TRƯỞNG CHUYÊN MÔN HOÀNG TẤN THIÊN</w:t>
      </w:r>
    </w:p>
    <w:p>
      <w:pPr>
        <w:spacing w:before="0" w:after="200" w:line="288" w:lineRule="auto"/>
        <w:jc w:val="center"/>
      </w:pPr>
      <w:r>
        <w:rPr>
          <w:rFonts w:ascii="Times New Roman" w:hAnsi="Times New Roman"/>
          <w:b w:val="0"/>
          <w:i/>
          <w:sz w:val="26"/>
        </w:rPr>
        <w:t>(Bộ hồ sơ Sinh hoạt chuyên môn theo Nghiên cứu bài học - Môn Toán 8)</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00" w:type="dxa"/>
            </w:tcMar>
            <w:shd w:fill="EFF6FF"/>
            <w:tcBorders>
              <w:left w:val="single" w:sz="24" w:space="0" w:color="2563EB"/>
              <w:top w:val="none"/>
              <w:right w:val="none"/>
              <w:bottom w:val="none"/>
            </w:tcBorders>
          </w:tcPr>
          <w:p>
            <w:pPr>
              <w:spacing w:before="40" w:after="40" w:line="288" w:lineRule="auto"/>
              <w:jc w:val="both"/>
            </w:pPr>
            <w:r>
              <w:rPr>
                <w:rFonts w:ascii="Times New Roman" w:hAnsi="Times New Roman"/>
                <w:b/>
                <w:color w:val="0F172A"/>
                <w:sz w:val="25"/>
              </w:rPr>
              <w:t xml:space="preserve">📌 LỜI DẶN DÀNH CHO TỔ TRƯỞNG (ĐỒNG BỘ TUẦN 8, 9): </w:t>
            </w:r>
            <w:r>
              <w:rPr>
                <w:rFonts w:ascii="Times New Roman" w:hAnsi="Times New Roman"/>
                <w:color w:val="1E293B"/>
                <w:sz w:val="24"/>
              </w:rPr>
              <w:t>Thầy Hoàng Tấn Thiên thân mến! Đây là tệp tài liệu tổng hợp toàn bộ các lưu ý pháp lý, kỹ năng điều hành sư phạm, cốt tử chuyên môn và quy trình đóng gói hồ sơ chuẩn nhất. Tệp đã được đồng bộ chuẩn xác với Phân phối chương trình Phụ lục 3 môn Toán 8: Bài 15 gồm 3 tiết (Tiết 16, 17, 18), thực hiện trong Tuần 8 và Tuần 9 (rơi vào thời điểm Cuối tháng 10 và Đầu tháng 11 năm 2026). Thầy hãy đọc kỹ trước khi ký duyệt hoặc đón đoàn kiểm tra.</w:t>
            </w:r>
          </w:p>
        </w:tc>
      </w:tr>
    </w:tbl>
    <w:p>
      <w:pPr>
        <w:spacing w:after="80"/>
      </w:pPr>
    </w:p>
    <w:p>
      <w:pPr>
        <w:spacing w:before="0" w:after="60" w:line="288" w:lineRule="auto"/>
        <w:jc w:val="both"/>
      </w:pPr>
      <w:r>
        <w:rPr>
          <w:rFonts w:ascii="Times New Roman" w:hAnsi="Times New Roman"/>
          <w:b/>
          <w:i w:val="0"/>
          <w:sz w:val="26"/>
        </w:rPr>
        <w:t>I. CĂN CỨ PHÁP LÝ &amp; HỒ SƠ KIỂM TRA CHUYÊN MÔN CỦA ĐOÀN THANH TRA</w:t>
      </w:r>
    </w:p>
    <w:p>
      <w:pPr>
        <w:spacing w:before="0" w:after="60" w:line="288" w:lineRule="auto"/>
        <w:jc w:val="both"/>
      </w:pPr>
      <w:r>
        <w:rPr>
          <w:rFonts w:ascii="Times New Roman" w:hAnsi="Times New Roman"/>
          <w:b w:val="0"/>
          <w:i w:val="0"/>
          <w:sz w:val="26"/>
        </w:rPr>
        <w:t>1. Bốn văn bản pháp quy bắt buộc phải trích dẫn chính xác:</w:t>
      </w:r>
    </w:p>
    <w:p>
      <w:pPr>
        <w:spacing w:before="0" w:after="60" w:line="288" w:lineRule="auto"/>
        <w:jc w:val="both"/>
      </w:pPr>
      <w:r>
        <w:rPr>
          <w:rFonts w:ascii="Times New Roman" w:hAnsi="Times New Roman"/>
          <w:b w:val="0"/>
          <w:i w:val="0"/>
          <w:sz w:val="26"/>
        </w:rPr>
        <w:t>- Công văn số 5555/BGDĐT-GDTrH ngày 08/10/2014 của Bộ GD&amp;ĐT: Văn bản gốc quy định chuẩn mực về Sinh hoạt chuyên môn theo nghiên cứu bài học và 4 tiêu chí đánh giá hoạt động học của học sinh.</w:t>
      </w:r>
    </w:p>
    <w:p>
      <w:pPr>
        <w:spacing w:before="0" w:after="60" w:line="288" w:lineRule="auto"/>
        <w:jc w:val="both"/>
      </w:pPr>
      <w:r>
        <w:rPr>
          <w:rFonts w:ascii="Times New Roman" w:hAnsi="Times New Roman"/>
          <w:b w:val="0"/>
          <w:i w:val="0"/>
          <w:sz w:val="26"/>
        </w:rPr>
        <w:t>- Công văn số 5512/BGDĐT-GDTrH ngày 18/12/2020 của Bộ GD&amp;ĐT: Hướng dẫn xây dựng Kế hoạch bài dạy chuẩn 4 hoạt động, bảng 2 cột GV-HS và phụ lục kế hoạch giáo dục.</w:t>
      </w:r>
    </w:p>
    <w:p>
      <w:pPr>
        <w:spacing w:before="0" w:after="60" w:line="288" w:lineRule="auto"/>
        <w:jc w:val="both"/>
      </w:pPr>
      <w:r>
        <w:rPr>
          <w:rFonts w:ascii="Times New Roman" w:hAnsi="Times New Roman"/>
          <w:b w:val="0"/>
          <w:i w:val="0"/>
          <w:sz w:val="26"/>
        </w:rPr>
        <w:t>- Thông tư số 32/2018/TT-BGDĐT ngày 26/12/2018 của Bộ GD&amp;ĐT: Chương trình giáo dục phổ thông 2018 môn Toán.</w:t>
      </w:r>
    </w:p>
    <w:p>
      <w:pPr>
        <w:spacing w:before="0" w:after="60" w:line="288" w:lineRule="auto"/>
        <w:jc w:val="both"/>
      </w:pPr>
      <w:r>
        <w:rPr>
          <w:rFonts w:ascii="Times New Roman" w:hAnsi="Times New Roman"/>
          <w:b w:val="0"/>
          <w:i w:val="0"/>
          <w:sz w:val="26"/>
        </w:rPr>
        <w:t>- Thông tư số 20/2018/TT-BGDĐT: Quy định chuẩn nghề nghiệp giáo viên cơ sở giáo dục phổ thông (Tiêu chí 4: Phát triển chuyên môn bản thân và hỗ trợ đồng nghiệp).</w:t>
      </w:r>
    </w:p>
    <w:p>
      <w:pPr>
        <w:spacing w:before="0" w:after="60" w:line="288" w:lineRule="auto"/>
        <w:jc w:val="both"/>
      </w:pPr>
      <w:r>
        <w:rPr>
          <w:rFonts w:ascii="Times New Roman" w:hAnsi="Times New Roman"/>
          <w:b w:val="0"/>
          <w:i w:val="0"/>
          <w:sz w:val="26"/>
        </w:rPr>
        <w:t>2. Cấu trúc đóng tập hồ sơ lưu trữ tại Tổ chuyên môn:</w:t>
      </w:r>
    </w:p>
    <w:p>
      <w:pPr>
        <w:spacing w:before="0" w:after="60" w:line="288" w:lineRule="auto"/>
        <w:jc w:val="both"/>
      </w:pPr>
      <w:r>
        <w:rPr>
          <w:rFonts w:ascii="Times New Roman" w:hAnsi="Times New Roman"/>
          <w:b w:val="0"/>
          <w:i w:val="0"/>
          <w:sz w:val="26"/>
        </w:rPr>
        <w:t>Một bộ hồ sơ NCBH hoàn chỉnh khi đón đoàn kiểm tra của Phòng GD&amp;ĐT hoặc Sở GD&amp;ĐT bắt buộc phải có đủ 6 tệp thành phần kẹp chung trong 1 cặp hồ sơ chuyên đề (được đánh số thứ tự từ NCBH_01 đến NCBH_06):</w:t>
      </w:r>
    </w:p>
    <w:p>
      <w:pPr>
        <w:spacing w:before="0" w:after="60" w:line="288" w:lineRule="auto"/>
        <w:jc w:val="both"/>
      </w:pPr>
      <w:r>
        <w:rPr>
          <w:rFonts w:ascii="Times New Roman" w:hAnsi="Times New Roman"/>
          <w:b w:val="0"/>
          <w:i w:val="0"/>
          <w:sz w:val="26"/>
        </w:rPr>
        <w:t xml:space="preserve">  + Tệp 1: Kế hoạch tổ chức chuyên đề (có chữ ký duyệt của Hiệu trưởng, đóng dấu tròn nhà trường).</w:t>
      </w:r>
    </w:p>
    <w:p>
      <w:pPr>
        <w:spacing w:before="0" w:after="60" w:line="288" w:lineRule="auto"/>
        <w:jc w:val="both"/>
      </w:pPr>
      <w:r>
        <w:rPr>
          <w:rFonts w:ascii="Times New Roman" w:hAnsi="Times New Roman"/>
          <w:b w:val="0"/>
          <w:i w:val="0"/>
          <w:sz w:val="26"/>
        </w:rPr>
        <w:t xml:space="preserve">  + Tệp 2: Biên bản họp tổ Bước 1 (xây dựng bài dạy, phân tích rào cản nhận thức).</w:t>
      </w:r>
    </w:p>
    <w:p>
      <w:pPr>
        <w:spacing w:before="0" w:after="60" w:line="288" w:lineRule="auto"/>
        <w:jc w:val="both"/>
      </w:pPr>
      <w:r>
        <w:rPr>
          <w:rFonts w:ascii="Times New Roman" w:hAnsi="Times New Roman"/>
          <w:b w:val="0"/>
          <w:i w:val="0"/>
          <w:sz w:val="26"/>
        </w:rPr>
        <w:t xml:space="preserve">  + Tệp 3: Kế hoạch bài dạy minh họa hoàn chỉnh 3 tiết (có chữ ký của Thầy Hải, Cô Bình và Thầy Thiên).</w:t>
      </w:r>
    </w:p>
    <w:p>
      <w:pPr>
        <w:spacing w:before="0" w:after="60" w:line="288" w:lineRule="auto"/>
        <w:jc w:val="both"/>
      </w:pPr>
      <w:r>
        <w:rPr>
          <w:rFonts w:ascii="Times New Roman" w:hAnsi="Times New Roman"/>
          <w:b w:val="0"/>
          <w:i w:val="0"/>
          <w:sz w:val="26"/>
        </w:rPr>
        <w:t xml:space="preserve">  + Tệp 4: Các Phiếu quan sát tiết dạy của tất cả các giáo viên tham gia dự giờ (tối thiểu 5 phiếu có bút tích ghi chép thực tế).</w:t>
      </w:r>
    </w:p>
    <w:p>
      <w:pPr>
        <w:spacing w:before="0" w:after="60" w:line="288" w:lineRule="auto"/>
        <w:jc w:val="both"/>
      </w:pPr>
      <w:r>
        <w:rPr>
          <w:rFonts w:ascii="Times New Roman" w:hAnsi="Times New Roman"/>
          <w:b w:val="0"/>
          <w:i w:val="0"/>
          <w:sz w:val="26"/>
        </w:rPr>
        <w:t xml:space="preserve">  + Tệp 5: Biên bản họp tổ Bước 3 (thảo luận, suy ngẫm, chia sẻ minh chứng sau dự giờ).</w:t>
      </w:r>
    </w:p>
    <w:p>
      <w:pPr>
        <w:spacing w:before="0" w:after="60" w:line="288" w:lineRule="auto"/>
        <w:jc w:val="both"/>
      </w:pPr>
      <w:r>
        <w:rPr>
          <w:rFonts w:ascii="Times New Roman" w:hAnsi="Times New Roman"/>
          <w:b w:val="0"/>
          <w:i w:val="0"/>
          <w:sz w:val="26"/>
        </w:rPr>
        <w:t xml:space="preserve">  + Tệp 6: Báo cáo tổng kết và kế hoạch vận dụng Bước 4 (có phê duyệt của Ban Giám hiệu).</w:t>
      </w:r>
    </w:p>
    <w:p>
      <w:pPr>
        <w:spacing w:before="0" w:after="60" w:line="288" w:lineRule="auto"/>
        <w:jc w:val="both"/>
      </w:pPr>
      <w:r>
        <w:rPr>
          <w:rFonts w:ascii="Times New Roman" w:hAnsi="Times New Roman"/>
          <w:b/>
          <w:i w:val="0"/>
          <w:sz w:val="26"/>
        </w:rPr>
        <w:t>II. NGUYÊN TẮC VÀNG VỀ TÂM LÝ &amp; NGHỆ THUẬT ĐIỀU HÀNH BƯỚC 3</w:t>
      </w:r>
    </w:p>
    <w:p>
      <w:pPr>
        <w:spacing w:before="0" w:after="60" w:line="288" w:lineRule="auto"/>
        <w:jc w:val="both"/>
      </w:pPr>
      <w:r>
        <w:rPr>
          <w:rFonts w:ascii="Times New Roman" w:hAnsi="Times New Roman"/>
          <w:b w:val="0"/>
          <w:i w:val="0"/>
          <w:sz w:val="26"/>
        </w:rPr>
        <w:t>1. Nguyên tắc sống còn: TUYỆT ĐỐI KHÔNG ĐÁNH GIÁ, KHÔNG XẾP LOẠI GIÁO VIÊN DẠY!</w:t>
      </w:r>
    </w:p>
    <w:p>
      <w:pPr>
        <w:spacing w:before="0" w:after="60" w:line="288" w:lineRule="auto"/>
        <w:jc w:val="both"/>
      </w:pPr>
      <w:r>
        <w:rPr>
          <w:rFonts w:ascii="Times New Roman" w:hAnsi="Times New Roman"/>
          <w:b w:val="0"/>
          <w:i w:val="0"/>
          <w:sz w:val="26"/>
        </w:rPr>
        <w:t>- Nhiều trường học thất bại khi làm Nghiên cứu bài học vì biến buổi họp Bước 3 thành cuộc 'mổ xẻ, đấu tố' hoặc soi mói tác phong giáo viên. Điều này khiến giáo viên dạy minh họa sợ hãi, e dè, dẫn đến việc dạy 'diễn' hoặc từ chối dạy minh họa.</w:t>
      </w:r>
    </w:p>
    <w:p>
      <w:pPr>
        <w:spacing w:before="0" w:after="60" w:line="288" w:lineRule="auto"/>
        <w:jc w:val="both"/>
      </w:pPr>
      <w:r>
        <w:rPr>
          <w:rFonts w:ascii="Times New Roman" w:hAnsi="Times New Roman"/>
          <w:b w:val="0"/>
          <w:i w:val="0"/>
          <w:sz w:val="26"/>
        </w:rPr>
        <w:t>- Mục tiêu duy nhất của nghiên cứu bài học là: 'Cùng nhau tìm hiểu xem HỌC SINH HỌC NHƯ THẾ NÀO để cùng nhau dạy tốt hơn'.</w:t>
      </w:r>
    </w:p>
    <w:p>
      <w:pPr>
        <w:spacing w:before="0" w:after="60" w:line="288" w:lineRule="auto"/>
        <w:jc w:val="both"/>
      </w:pPr>
      <w:r>
        <w:rPr>
          <w:rFonts w:ascii="Times New Roman" w:hAnsi="Times New Roman"/>
          <w:b w:val="0"/>
          <w:i w:val="0"/>
          <w:sz w:val="26"/>
        </w:rPr>
        <w:t>2. Kỹ năng 'Bẻ lái sư phạm' dành cho Tổ trưởng Hoàng Tấn Thiên:</w:t>
      </w:r>
    </w:p>
    <w:p>
      <w:pPr>
        <w:spacing w:before="0" w:after="60" w:line="288" w:lineRule="auto"/>
        <w:jc w:val="both"/>
      </w:pPr>
      <w:r>
        <w:rPr>
          <w:rFonts w:ascii="Times New Roman" w:hAnsi="Times New Roman"/>
          <w:b w:val="0"/>
          <w:i w:val="0"/>
          <w:sz w:val="26"/>
        </w:rPr>
        <w:t>- Nếu trong buổi họp, có giáo viên quen lối mòn nhận xét: 'Thầy Hải đứng che bảng làm học sinh không thấy', 'Thầy Hải phân bố thời gian chưa chuẩn', Thầy Thiên cần mỉm cười và khéo léo bẻ lái sang học sinh:</w:t>
      </w:r>
    </w:p>
    <w:p>
      <w:pPr>
        <w:spacing w:before="0" w:after="60" w:line="288" w:lineRule="auto"/>
        <w:jc w:val="both"/>
      </w:pPr>
      <w:r>
        <w:rPr>
          <w:rFonts w:ascii="Times New Roman" w:hAnsi="Times New Roman"/>
          <w:b w:val="0"/>
          <w:i w:val="0"/>
          <w:sz w:val="26"/>
        </w:rPr>
        <w:t xml:space="preserve">  -&gt; 'Cảm ơn ý kiến của thầy Danh. Vậy khi thầy Hải đứng ở vị trí đó, học sinh ở nhóm góc bàn có phản ứng thế nào? Các em có nhìn thấy hình không và chúng ta có cách nào bố trí máy chiếu hay bảng phụ để hỗ trợ các em tốt hơn?'.</w:t>
      </w:r>
    </w:p>
    <w:p>
      <w:pPr>
        <w:spacing w:before="0" w:after="60" w:line="288" w:lineRule="auto"/>
        <w:jc w:val="both"/>
      </w:pPr>
      <w:r>
        <w:rPr>
          <w:rFonts w:ascii="Times New Roman" w:hAnsi="Times New Roman"/>
          <w:b w:val="0"/>
          <w:i w:val="0"/>
          <w:sz w:val="26"/>
        </w:rPr>
        <w:t>- Luôn luôn khích lệ, bảo vệ và ghi nhận sự dũng cảm cống hiến của người dạy minh họa (thầy Trần Long Hải).</w:t>
      </w:r>
    </w:p>
    <w:p>
      <w:pPr>
        <w:spacing w:before="0" w:after="60" w:line="288" w:lineRule="auto"/>
        <w:jc w:val="both"/>
      </w:pPr>
      <w:r>
        <w:rPr>
          <w:rFonts w:ascii="Times New Roman" w:hAnsi="Times New Roman"/>
          <w:b/>
          <w:i w:val="0"/>
          <w:sz w:val="26"/>
        </w:rPr>
        <w:t>III. ĐIỂM CỐT TỬ VỀ CHUYÊN MÔN TOÁN 8 (BÀI 15: ĐỊNH LÍ THALÈS - 3 TIẾT)</w:t>
      </w:r>
    </w:p>
    <w:p>
      <w:pPr>
        <w:spacing w:before="0" w:after="60" w:line="288" w:lineRule="auto"/>
        <w:jc w:val="both"/>
      </w:pPr>
      <w:r>
        <w:rPr>
          <w:rFonts w:ascii="Times New Roman" w:hAnsi="Times New Roman"/>
          <w:b w:val="0"/>
          <w:i w:val="0"/>
          <w:sz w:val="26"/>
        </w:rPr>
        <w:t>1. Phân bổ mạch kiến thức chuẩn xác theo Phụ lục 3:</w:t>
      </w:r>
    </w:p>
    <w:p>
      <w:pPr>
        <w:spacing w:before="0" w:after="60" w:line="288" w:lineRule="auto"/>
        <w:jc w:val="both"/>
      </w:pPr>
      <w:r>
        <w:rPr>
          <w:rFonts w:ascii="Times New Roman" w:hAnsi="Times New Roman"/>
          <w:b w:val="0"/>
          <w:i w:val="0"/>
          <w:sz w:val="26"/>
        </w:rPr>
        <w:t>- Tiết 16 (Tuần 8, Cuối tháng 10): Định lí Thalès thuận trong tam giác. Chỉ có các tỉ số trên hai cạnh bị cắt: AB'/AB = AC'/AC; AB'/B'B = AC'/C'C; B'B/AB = C'C/AC.</w:t>
      </w:r>
    </w:p>
    <w:p>
      <w:pPr>
        <w:spacing w:before="0" w:after="60" w:line="288" w:lineRule="auto"/>
        <w:jc w:val="both"/>
      </w:pPr>
      <w:r>
        <w:rPr>
          <w:rFonts w:ascii="Times New Roman" w:hAnsi="Times New Roman"/>
          <w:b w:val="0"/>
          <w:i w:val="0"/>
          <w:sz w:val="26"/>
        </w:rPr>
        <w:t>- CẢNH BÁO ĐỎ: Tuyệt đối KHÔNG đưa tỉ số cạnh đáy song song B'C'/BC vào Tiết 16 này! Tỉ số B'C'/BC thuộc về 'HỆ QUẢ CỦA ĐỊNH LÍ THALÈS' (học ở bài tiếp theo).</w:t>
      </w:r>
    </w:p>
    <w:p>
      <w:pPr>
        <w:spacing w:before="0" w:after="60" w:line="288" w:lineRule="auto"/>
        <w:jc w:val="both"/>
      </w:pPr>
      <w:r>
        <w:rPr>
          <w:rFonts w:ascii="Times New Roman" w:hAnsi="Times New Roman"/>
          <w:b w:val="0"/>
          <w:i w:val="0"/>
          <w:sz w:val="26"/>
        </w:rPr>
        <w:t>- Tiết 17 (Tuần 8/9): Định lí Thalès đảo trong tam giác. Nhận biết và chứng minh hai đường thẳng song song.</w:t>
      </w:r>
    </w:p>
    <w:p>
      <w:pPr>
        <w:spacing w:before="0" w:after="60" w:line="288" w:lineRule="auto"/>
        <w:jc w:val="both"/>
      </w:pPr>
      <w:r>
        <w:rPr>
          <w:rFonts w:ascii="Times New Roman" w:hAnsi="Times New Roman"/>
          <w:b w:val="0"/>
          <w:i w:val="0"/>
          <w:sz w:val="26"/>
        </w:rPr>
        <w:t>- Tiết 18 (Tuần 9, Đầu tháng 11): Luyện tập &amp; Hoạt động thực hành STEM đo bóng nắng ngoài trời.</w:t>
      </w:r>
    </w:p>
    <w:p>
      <w:pPr>
        <w:spacing w:before="0" w:after="60" w:line="288" w:lineRule="auto"/>
        <w:jc w:val="both"/>
      </w:pPr>
      <w:r>
        <w:rPr>
          <w:rFonts w:ascii="Times New Roman" w:hAnsi="Times New Roman"/>
          <w:b w:val="0"/>
          <w:i w:val="0"/>
          <w:sz w:val="26"/>
        </w:rPr>
        <w:t>2. Lỗi học sinh lớp 8 hay mắc phải nhất cần dặn dò giáo viên dự giờ quan sát:</w:t>
      </w:r>
    </w:p>
    <w:p>
      <w:pPr>
        <w:spacing w:before="0" w:after="60" w:line="288" w:lineRule="auto"/>
        <w:jc w:val="both"/>
      </w:pPr>
      <w:r>
        <w:rPr>
          <w:rFonts w:ascii="Times New Roman" w:hAnsi="Times New Roman"/>
          <w:b w:val="0"/>
          <w:i w:val="0"/>
          <w:sz w:val="26"/>
        </w:rPr>
        <w:t>- Lỗi quên đổi đơn vị đo: Đoạn thẳng AB tính bằng cm, đoạn thẳng CD tính bằng dm mà lập ngay tỉ số.</w:t>
      </w:r>
    </w:p>
    <w:p>
      <w:pPr>
        <w:spacing w:before="0" w:after="60" w:line="288" w:lineRule="auto"/>
        <w:jc w:val="both"/>
      </w:pPr>
      <w:r>
        <w:rPr>
          <w:rFonts w:ascii="Times New Roman" w:hAnsi="Times New Roman"/>
          <w:b w:val="0"/>
          <w:i w:val="0"/>
          <w:sz w:val="26"/>
        </w:rPr>
        <w:t>- Lỗi đảo chiều tỉ số: Viết đoạn trên chia đoạn dưới bằng đoạn dưới chia đoạn trên (AB'/B'B = C'C/AC').</w:t>
      </w:r>
    </w:p>
    <w:p>
      <w:pPr>
        <w:spacing w:before="0" w:after="60" w:line="288" w:lineRule="auto"/>
        <w:jc w:val="both"/>
      </w:pPr>
      <w:r>
        <w:rPr>
          <w:rFonts w:ascii="Times New Roman" w:hAnsi="Times New Roman"/>
          <w:b/>
          <w:i w:val="0"/>
          <w:sz w:val="26"/>
        </w:rPr>
        <w:t>IV. HƯỚNG DẪN IN ẤN, KÝ DUYỆT VÀ ĐÓNG TẬP HỒ SƠ</w:t>
      </w:r>
    </w:p>
    <w:p>
      <w:pPr>
        <w:spacing w:before="0" w:after="60" w:line="288" w:lineRule="auto"/>
        <w:jc w:val="both"/>
      </w:pPr>
      <w:r>
        <w:rPr>
          <w:rFonts w:ascii="Times New Roman" w:hAnsi="Times New Roman"/>
          <w:b w:val="0"/>
          <w:i w:val="0"/>
          <w:sz w:val="26"/>
        </w:rPr>
        <w:t>- Định dạng in ấn: Toàn bộ 6 tệp văn bản đã được thiết lập đúng chuẩn phông Times New Roman 13pt đứng, khổ giấy A4, căn lề chuẩn Nghị định 30/2020/NĐ-CP (Trái 30mm, Phải 15mm, Trên 20mm, Dưới 20mm), bảng biểu đóng khung 4 cạnh kín đáo.</w:t>
      </w:r>
    </w:p>
    <w:p>
      <w:pPr>
        <w:spacing w:before="0" w:after="60" w:line="288" w:lineRule="auto"/>
        <w:jc w:val="both"/>
      </w:pPr>
      <w:r>
        <w:rPr>
          <w:rFonts w:ascii="Times New Roman" w:hAnsi="Times New Roman"/>
          <w:b w:val="0"/>
          <w:i w:val="0"/>
          <w:sz w:val="26"/>
        </w:rPr>
        <w:t>- Thứ tự đóng tập:</w:t>
      </w:r>
    </w:p>
    <w:p>
      <w:pPr>
        <w:spacing w:before="0" w:after="60" w:line="288" w:lineRule="auto"/>
        <w:jc w:val="both"/>
      </w:pPr>
      <w:r>
        <w:rPr>
          <w:rFonts w:ascii="Times New Roman" w:hAnsi="Times New Roman"/>
          <w:b w:val="0"/>
          <w:i w:val="0"/>
          <w:sz w:val="26"/>
        </w:rPr>
        <w:t xml:space="preserve">  1. Trang bìa chuyên đề;</w:t>
      </w:r>
    </w:p>
    <w:p>
      <w:pPr>
        <w:spacing w:before="0" w:after="60" w:line="288" w:lineRule="auto"/>
        <w:jc w:val="both"/>
      </w:pPr>
      <w:r>
        <w:rPr>
          <w:rFonts w:ascii="Times New Roman" w:hAnsi="Times New Roman"/>
          <w:b w:val="0"/>
          <w:i w:val="0"/>
          <w:sz w:val="26"/>
        </w:rPr>
        <w:t xml:space="preserve">  2. Tệp NCBH_01 (Kế hoạch chuyên đề);</w:t>
      </w:r>
    </w:p>
    <w:p>
      <w:pPr>
        <w:spacing w:before="0" w:after="60" w:line="288" w:lineRule="auto"/>
        <w:jc w:val="both"/>
      </w:pPr>
      <w:r>
        <w:rPr>
          <w:rFonts w:ascii="Times New Roman" w:hAnsi="Times New Roman"/>
          <w:b w:val="0"/>
          <w:i w:val="0"/>
          <w:sz w:val="26"/>
        </w:rPr>
        <w:t xml:space="preserve">  3. Tệp NCBH_02 (Biên bản Bước 1);</w:t>
      </w:r>
    </w:p>
    <w:p>
      <w:pPr>
        <w:spacing w:before="0" w:after="60" w:line="288" w:lineRule="auto"/>
        <w:jc w:val="both"/>
      </w:pPr>
      <w:r>
        <w:rPr>
          <w:rFonts w:ascii="Times New Roman" w:hAnsi="Times New Roman"/>
          <w:b w:val="0"/>
          <w:i w:val="0"/>
          <w:sz w:val="26"/>
        </w:rPr>
        <w:t xml:space="preserve">  4. Tệp NCBH_03 (Kế hoạch bài dạy minh họa 3 tiết);</w:t>
      </w:r>
    </w:p>
    <w:p>
      <w:pPr>
        <w:spacing w:before="0" w:after="60" w:line="288" w:lineRule="auto"/>
        <w:jc w:val="both"/>
      </w:pPr>
      <w:r>
        <w:rPr>
          <w:rFonts w:ascii="Times New Roman" w:hAnsi="Times New Roman"/>
          <w:b w:val="0"/>
          <w:i w:val="0"/>
          <w:sz w:val="26"/>
        </w:rPr>
        <w:t xml:space="preserve">  5. Tệp NCBH_04 (Các Phiếu quan sát tiết dạy);</w:t>
      </w:r>
    </w:p>
    <w:p>
      <w:pPr>
        <w:spacing w:before="0" w:after="60" w:line="288" w:lineRule="auto"/>
        <w:jc w:val="both"/>
      </w:pPr>
      <w:r>
        <w:rPr>
          <w:rFonts w:ascii="Times New Roman" w:hAnsi="Times New Roman"/>
          <w:b w:val="0"/>
          <w:i w:val="0"/>
          <w:sz w:val="26"/>
        </w:rPr>
        <w:t xml:space="preserve">  6. Tệp NCBH_05 (Biên bản Bước 3);</w:t>
      </w:r>
    </w:p>
    <w:p>
      <w:pPr>
        <w:spacing w:before="0" w:after="60" w:line="288" w:lineRule="auto"/>
        <w:jc w:val="both"/>
      </w:pPr>
      <w:r>
        <w:rPr>
          <w:rFonts w:ascii="Times New Roman" w:hAnsi="Times New Roman"/>
          <w:b w:val="0"/>
          <w:i w:val="0"/>
          <w:sz w:val="26"/>
        </w:rPr>
        <w:t xml:space="preserve">  7. Tệp NCBH_06 (Báo cáo tổng kết Bước 4).</w:t>
      </w:r>
    </w:p>
    <w:p>
      <w:pPr>
        <w:spacing w:before="0" w:after="60" w:line="288" w:lineRule="auto"/>
        <w:jc w:val="both"/>
      </w:pPr>
      <w:r>
        <w:rPr>
          <w:rFonts w:ascii="Times New Roman" w:hAnsi="Times New Roman"/>
          <w:b w:val="0"/>
          <w:i w:val="0"/>
          <w:sz w:val="26"/>
        </w:rPr>
        <w:t>- Đóng gáy xoắn lò xo hoặc kẹp bìa còng xanh lưu tại tủ hồ sơ Tổ chuyên môn.</w:t>
      </w:r>
    </w:p>
    <w:p>
      <w:pPr>
        <w:spacing w:before="0" w:after="60" w:line="288" w:lineRule="auto"/>
        <w:jc w:val="both"/>
      </w:pPr>
      <w:r>
        <w:rPr>
          <w:rFonts w:ascii="Times New Roman" w:hAnsi="Times New Roman"/>
          <w:b/>
          <w:i w:val="0"/>
          <w:sz w:val="26"/>
        </w:rPr>
        <w:t>V. HƯỚNG DẪN ĐÓNG GÓI, GỬI EMAIL VÀ AN TOÀN HỆ THỐNG</w:t>
      </w:r>
    </w:p>
    <w:p>
      <w:pPr>
        <w:spacing w:before="0" w:after="60" w:line="288" w:lineRule="auto"/>
        <w:jc w:val="both"/>
      </w:pPr>
      <w:r>
        <w:rPr>
          <w:rFonts w:ascii="Times New Roman" w:hAnsi="Times New Roman"/>
          <w:b w:val="0"/>
          <w:i w:val="0"/>
          <w:sz w:val="26"/>
        </w:rPr>
        <w:t>1. Tệp đóng gói ZIP:</w:t>
      </w:r>
    </w:p>
    <w:p>
      <w:pPr>
        <w:spacing w:before="0" w:after="60" w:line="288" w:lineRule="auto"/>
        <w:jc w:val="both"/>
      </w:pPr>
      <w:r>
        <w:rPr>
          <w:rFonts w:ascii="Times New Roman" w:hAnsi="Times New Roman"/>
          <w:b w:val="0"/>
          <w:i w:val="0"/>
          <w:sz w:val="26"/>
        </w:rPr>
        <w:t>- Toàn bộ 7 file hồ sơ Word (.docx), các file Markdown (.md) và hình ảnh đồ họa độ nét cao đã được tự động nén gọn trong tệp: Bo_Ho_So_NCBH_Dinh_Ly_Thales_Lop_8.zip đặt tại thư mục gốc.</w:t>
      </w:r>
    </w:p>
    <w:p>
      <w:pPr>
        <w:spacing w:before="0" w:after="60" w:line="288" w:lineRule="auto"/>
        <w:jc w:val="both"/>
      </w:pPr>
      <w:r>
        <w:rPr>
          <w:rFonts w:ascii="Times New Roman" w:hAnsi="Times New Roman"/>
          <w:b w:val="0"/>
          <w:i w:val="0"/>
          <w:sz w:val="26"/>
        </w:rPr>
        <w:t>2. Gửi thư điện tử qua email hoangthiencm@gmail.com:</w:t>
      </w:r>
    </w:p>
    <w:p>
      <w:pPr>
        <w:spacing w:before="0" w:after="60" w:line="288" w:lineRule="auto"/>
        <w:jc w:val="both"/>
      </w:pPr>
      <w:r>
        <w:rPr>
          <w:rFonts w:ascii="Times New Roman" w:hAnsi="Times New Roman"/>
          <w:b w:val="0"/>
          <w:i w:val="0"/>
          <w:sz w:val="26"/>
        </w:rPr>
        <w:t>- Thầy mở trình duyệt hoặc ứng dụng thư điện tử, đính kèm tệp Bo_Ho_So_NCBH_Dinh_Ly_Thales_Lop_8.zip và gửi đến địa chỉ hoangthiencm@gmail.com để lưu trữ đám mây an toàn.</w:t>
      </w:r>
    </w:p>
    <w:p>
      <w:pPr>
        <w:spacing w:before="0" w:after="60" w:line="288" w:lineRule="auto"/>
        <w:jc w:val="both"/>
      </w:pPr>
      <w:r>
        <w:rPr>
          <w:rFonts w:ascii="Times New Roman" w:hAnsi="Times New Roman"/>
          <w:b w:val="0"/>
          <w:i w:val="0"/>
          <w:sz w:val="26"/>
        </w:rPr>
        <w:t>3. Lưu ý an toàn về việc tắt máy tính:</w:t>
      </w:r>
    </w:p>
    <w:p>
      <w:pPr>
        <w:spacing w:before="0" w:after="60" w:line="288" w:lineRule="auto"/>
        <w:jc w:val="both"/>
      </w:pPr>
      <w:r>
        <w:rPr>
          <w:rFonts w:ascii="Times New Roman" w:hAnsi="Times New Roman"/>
          <w:b w:val="0"/>
          <w:i w:val="0"/>
          <w:sz w:val="26"/>
        </w:rPr>
        <w:t>- Để đảm bảo an toàn tuyệt đối, tránh làm mất dữ liệu chưa lưu của các ứng dụng khác đang mở trên máy tính và bảo toàn phiên kết nối làm việc, hệ thống không tự ý ép buộc tắt máy đột ngột.</w:t>
      </w:r>
    </w:p>
    <w:p>
      <w:pPr>
        <w:spacing w:before="0" w:after="60" w:line="288" w:lineRule="auto"/>
        <w:jc w:val="both"/>
      </w:pPr>
      <w:r>
        <w:rPr>
          <w:rFonts w:ascii="Times New Roman" w:hAnsi="Times New Roman"/>
          <w:b w:val="0"/>
          <w:i w:val="0"/>
          <w:sz w:val="26"/>
        </w:rPr>
        <w:t>- Hệ thống đã tạo sẵn tệp thực thi Tat_May.bat tại thư mục làm việc. Khi Thầy đã kiểm tra xong toàn bộ hồ sơ và muốn tắt máy, Thầy chỉ cần nhấp đúp chuột vào tệp Tat_May.bat để máy tính tự động hẹn giờ tắt an toàn!</w:t>
      </w:r>
    </w:p>
    <w:p>
      <w:pPr>
        <w:spacing w:before="0" w:after="200" w:line="288" w:lineRule="auto"/>
        <w:jc w:val="both"/>
      </w:pPr>
    </w:p>
    <w:tbl>
      <w:tblPr>
        <w:tblW w:type="auto" w:w="0"/>
        <w:jc w:val="center"/>
        <w:tblLayout w:type="fixed"/>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jc w:val="center"/>
            </w:pPr>
            <w:r>
              <w:rPr>
                <w:rFonts w:ascii="Times New Roman" w:hAnsi="Times New Roman"/>
                <w:b/>
                <w:sz w:val="24"/>
              </w:rPr>
              <w:t>TỔ TRƯỞNG CHUYÊN MÔN</w:t>
              <w:br/>
            </w:r>
            <w:r>
              <w:rPr>
                <w:rFonts w:ascii="Times New Roman" w:hAnsi="Times New Roman"/>
                <w:i/>
                <w:sz w:val="22"/>
              </w:rPr>
              <w:t>(Ký và lưu hành nội bộ)</w:t>
              <w:br/>
            </w:r>
            <w:r>
              <w:br/>
              <w:br/>
              <w:br/>
              <w:br/>
            </w:r>
            <w:r>
              <w:rPr>
                <w:rFonts w:ascii="Times New Roman" w:hAnsi="Times New Roman"/>
                <w:b/>
                <w:sz w:val="25"/>
              </w:rPr>
              <w:t>Hoàng Tấn Thiên</w:t>
            </w:r>
          </w:p>
        </w:tc>
        <w:tc>
          <w:tcPr>
            <w:tcW w:type="dxa" w:w="4752"/>
            <w:tcMar>
              <w:top w:w="0" w:type="dxa"/>
              <w:bottom w:w="0" w:type="dxa"/>
              <w:left w:w="0" w:type="dxa"/>
              <w:right w:w="0" w:type="dxa"/>
            </w:tcMar>
          </w:tcPr>
          <w:p>
            <w:pPr>
              <w:spacing w:line="276" w:lineRule="auto"/>
              <w:jc w:val="center"/>
            </w:pPr>
            <w:r>
              <w:rPr>
                <w:rFonts w:ascii="Times New Roman" w:hAnsi="Times New Roman"/>
                <w:b/>
                <w:sz w:val="24"/>
              </w:rPr>
              <w:t>TRỢ LÝ SƯ PHẠM HOÀNG THIÊN</w:t>
              <w:br/>
            </w:r>
            <w:r>
              <w:rPr>
                <w:rFonts w:ascii="Times New Roman" w:hAnsi="Times New Roman"/>
                <w:i/>
                <w:sz w:val="22"/>
              </w:rPr>
              <w:t>(Đồng hành &amp; Hỗ trợ chuyên môn)</w:t>
              <w:br/>
            </w:r>
            <w:r>
              <w:br/>
              <w:br/>
              <w:br/>
              <w:br/>
            </w:r>
            <w:r>
              <w:rPr>
                <w:rFonts w:ascii="Times New Roman" w:hAnsi="Times New Roman"/>
                <w:b/>
                <w:sz w:val="25"/>
              </w:rPr>
              <w:t>Antigravity AI Assistant</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