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320"/>
            <w:tcMar>
              <w:top w:w="0" w:type="dxa"/>
              <w:bottom w:w="0" w:type="dxa"/>
              <w:left w:w="0" w:type="dxa"/>
              <w:right w:w="0" w:type="dxa"/>
            </w:tcMar>
          </w:tcPr>
          <w:p>
            <w:pPr>
              <w:spacing w:line="276" w:lineRule="auto" w:after="40"/>
              <w:jc w:val="center"/>
            </w:pPr>
            <w:r>
              <w:rPr>
                <w:rFonts w:ascii="Times New Roman" w:hAnsi="Times New Roman"/>
                <w:sz w:val="22"/>
              </w:rPr>
              <w:t>PHÒNG GIÁO DỤC VÀ ĐÀO TẠO</w:t>
              <w:br/>
            </w:r>
            <w:r>
              <w:rPr>
                <w:rFonts w:ascii="Times New Roman" w:hAnsi="Times New Roman"/>
                <w:b/>
                <w:sz w:val="22"/>
              </w:rPr>
              <w:t>TRƯỜNG THCS TRẦN PHÚ</w:t>
              <w:br/>
            </w:r>
            <w:r>
              <w:rPr>
                <w:rFonts w:ascii="Times New Roman" w:hAnsi="Times New Roman"/>
                <w:b/>
                <w:sz w:val="22"/>
              </w:rPr>
              <w:t>TỔ TOÁN – TIN</w:t>
              <w:br/>
            </w:r>
            <w:r>
              <w:rPr>
                <w:rFonts w:ascii="Times New Roman" w:hAnsi="Times New Roman"/>
                <w:sz w:val="22"/>
              </w:rPr>
              <w:t>Số: 09/BC-TTH</w:t>
            </w:r>
          </w:p>
        </w:tc>
        <w:tc>
          <w:tcPr>
            <w:tcW w:type="dxa" w:w="5040"/>
            <w:tcMar>
              <w:top w:w="0" w:type="dxa"/>
              <w:bottom w:w="0" w:type="dxa"/>
              <w:left w:w="0" w:type="dxa"/>
              <w:right w:w="0" w:type="dxa"/>
            </w:tcMar>
          </w:tcPr>
          <w:p>
            <w:pPr>
              <w:spacing w:line="276" w:lineRule="auto" w:after="40"/>
              <w:jc w:val="center"/>
            </w:pPr>
            <w:r>
              <w:rPr>
                <w:rFonts w:ascii="Times New Roman" w:hAnsi="Times New Roman"/>
                <w:b/>
                <w:sz w:val="22"/>
              </w:rPr>
              <w:t>CỘNG HÒA XÃ HỘI CHỦ NGHĨA VIỆT NAM</w:t>
              <w:br/>
            </w:r>
            <w:r>
              <w:rPr>
                <w:rFonts w:ascii="Times New Roman" w:hAnsi="Times New Roman"/>
                <w:b/>
                <w:sz w:val="24"/>
              </w:rPr>
              <w:t>Độc lập - Tự do - Hạnh phúc</w:t>
              <w:br/>
            </w:r>
            <w:r>
              <w:rPr>
                <w:rFonts w:ascii="Times New Roman" w:hAnsi="Times New Roman"/>
                <w:i/>
                <w:sz w:val="24"/>
              </w:rPr>
              <w:t>Xuân Đông, ngày 09 tháng 11 năm 2026</w:t>
            </w:r>
          </w:p>
        </w:tc>
      </w:tr>
    </w:tbl>
    <w:p>
      <w:pPr>
        <w:spacing w:after="120"/>
      </w:pPr>
    </w:p>
    <w:p>
      <w:pPr>
        <w:spacing w:before="0" w:after="60" w:line="288" w:lineRule="auto"/>
        <w:jc w:val="center"/>
      </w:pPr>
      <w:r>
        <w:rPr>
          <w:rFonts w:ascii="Times New Roman" w:hAnsi="Times New Roman"/>
          <w:b/>
          <w:i w:val="0"/>
          <w:sz w:val="30"/>
        </w:rPr>
        <w:t>BÁO CÁO TỔNG KẾT CHUYÊN ĐỀ</w:t>
      </w:r>
    </w:p>
    <w:p>
      <w:pPr>
        <w:spacing w:before="0" w:after="60" w:line="288" w:lineRule="auto"/>
        <w:jc w:val="center"/>
      </w:pPr>
      <w:r>
        <w:rPr>
          <w:rFonts w:ascii="Times New Roman" w:hAnsi="Times New Roman"/>
          <w:b/>
          <w:i w:val="0"/>
          <w:sz w:val="27"/>
        </w:rPr>
        <w:t>SINH HOẠT CHUYÊN MÔN THEO NGHIÊN CỨU BÀI HỌC VÀ KẾ HOẠCH VẬN DỤNG (BƯỚC 4)</w:t>
      </w:r>
    </w:p>
    <w:p>
      <w:pPr>
        <w:spacing w:before="0" w:after="60" w:line="288" w:lineRule="auto"/>
        <w:jc w:val="center"/>
      </w:pPr>
      <w:r>
        <w:rPr>
          <w:rFonts w:ascii="Times New Roman" w:hAnsi="Times New Roman"/>
          <w:b w:val="0"/>
          <w:i/>
          <w:sz w:val="26"/>
        </w:rPr>
        <w:t>Môn: Toán - Khối 8 - Học kỳ I năm học 2026 - 2027</w:t>
      </w:r>
    </w:p>
    <w:p>
      <w:pPr>
        <w:spacing w:before="0" w:after="200" w:line="288" w:lineRule="auto"/>
        <w:jc w:val="center"/>
      </w:pPr>
      <w:r>
        <w:rPr>
          <w:rFonts w:ascii="Times New Roman" w:hAnsi="Times New Roman"/>
          <w:b w:val="0"/>
          <w:i/>
          <w:sz w:val="25"/>
        </w:rPr>
        <w:t>Chủ đề nghiên cứu: Bài 15. Định lí Thalès trong tam giác (3 tiết - Tuần 8, 9 theo PPCT Phụ lục 3)</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00" w:type="dxa"/>
            </w:tcMar>
            <w:shd w:fill="F0FDF4"/>
            <w:tcBorders>
              <w:left w:val="single" w:sz="24" w:space="0" w:color="16A34A"/>
              <w:top w:val="none"/>
              <w:right w:val="none"/>
              <w:bottom w:val="none"/>
            </w:tcBorders>
          </w:tcPr>
          <w:p>
            <w:pPr>
              <w:spacing w:before="40" w:after="40" w:line="288" w:lineRule="auto"/>
              <w:jc w:val="both"/>
            </w:pPr>
            <w:r>
              <w:rPr>
                <w:rFonts w:ascii="Times New Roman" w:hAnsi="Times New Roman"/>
                <w:b/>
                <w:color w:val="0F172A"/>
                <w:sz w:val="25"/>
              </w:rPr>
              <w:t xml:space="preserve">📌 ĐỒNG BỘ TIẾN ĐỘ THỰC TẾ TUẦN 8 &amp; TUẦN 9: </w:t>
            </w:r>
            <w:r>
              <w:rPr>
                <w:rFonts w:ascii="Times New Roman" w:hAnsi="Times New Roman"/>
                <w:color w:val="1E293B"/>
                <w:sz w:val="24"/>
              </w:rPr>
              <w:t>BÁO CÁO TỔNG KẾT BƯỚC 4: Được lập vào ngày 09/11/2026 (Tuần 10) sau khi đã hoàn thành trọn vẹn chuỗi 3 tiết (Tiết 16, 17, 18) của Bài 15 trong suốt Tuần 8 (Cuối tháng 10) và Tuần 9 (Đầu tháng 11/2026) tại tất cả các lớp khối 8 Trường THCS Trần Phú.</w:t>
            </w:r>
          </w:p>
        </w:tc>
      </w:tr>
    </w:tbl>
    <w:p>
      <w:pPr>
        <w:spacing w:after="80"/>
      </w:pPr>
    </w:p>
    <w:p>
      <w:pPr>
        <w:spacing w:before="0" w:after="60" w:line="288" w:lineRule="auto"/>
        <w:jc w:val="both"/>
      </w:pPr>
      <w:r>
        <w:rPr>
          <w:rFonts w:ascii="Times New Roman" w:hAnsi="Times New Roman"/>
          <w:b/>
          <w:i w:val="0"/>
          <w:sz w:val="26"/>
        </w:rPr>
        <w:t>I. ĐÁNH GIÁ TỔNG QUAN QUÁ TRÌNH TRIỂN KHAI CHUYÊN ĐỀ</w:t>
      </w:r>
    </w:p>
    <w:p>
      <w:pPr>
        <w:spacing w:before="0" w:after="60" w:line="288" w:lineRule="auto"/>
        <w:jc w:val="both"/>
      </w:pPr>
      <w:r>
        <w:rPr>
          <w:rFonts w:ascii="Times New Roman" w:hAnsi="Times New Roman"/>
          <w:b w:val="0"/>
          <w:i w:val="0"/>
          <w:sz w:val="26"/>
        </w:rPr>
        <w:t>Thực hiện Kế hoạch số 08/KH-TTH ngày 20/10/2026 của Tổ Toán – Tin Trường THCS Trần Phú, tổ chuyên môn đã tiến hành thực hiện nghiêm túc chuyên đề Sinh hoạt chuyên môn theo nghiên cứu bài học theo đúng 4 bước chuẩn của Bộ Giáo dục và Đào tạo (Công văn số 5555/BGDĐT-GDTrH), bám sát tiến độ Phụ lục 3 môn Toán 8:</w:t>
      </w:r>
    </w:p>
    <w:p>
      <w:pPr>
        <w:spacing w:before="0" w:after="60" w:line="288" w:lineRule="auto"/>
        <w:jc w:val="both"/>
      </w:pPr>
      <w:r>
        <w:rPr>
          <w:rFonts w:ascii="Times New Roman" w:hAnsi="Times New Roman"/>
          <w:b w:val="0"/>
          <w:i w:val="0"/>
          <w:sz w:val="26"/>
        </w:rPr>
        <w:t>- Bước 1 (Xây dựng KHBD): Tổ chức ngày 22/10/2026 (Tuần 7) với sự tham gia của 7/7 giáo viên. Nhóm Toán 8 (thầy Hải, cô Bình) đã biên soạn giáo án 3 tiết công phu, tích hợp STEM và năng lực số.</w:t>
      </w:r>
    </w:p>
    <w:p>
      <w:pPr>
        <w:spacing w:before="0" w:after="60" w:line="288" w:lineRule="auto"/>
        <w:jc w:val="both"/>
      </w:pPr>
      <w:r>
        <w:rPr>
          <w:rFonts w:ascii="Times New Roman" w:hAnsi="Times New Roman"/>
          <w:b w:val="0"/>
          <w:i w:val="0"/>
          <w:sz w:val="26"/>
        </w:rPr>
        <w:t>- Bước 2 (Dạy minh họa &amp; Dự giờ): Thực hiện ngày 28/10/2026 (Tuần 8 - Cuối tháng 10) tại lớp 8A1 (Tiết 16) do thầy Trần Long Hải giảng dạy. 100% giáo viên trong tổ tham gia dự giờ, bố trí các góc quan sát khoa học.</w:t>
      </w:r>
    </w:p>
    <w:p>
      <w:pPr>
        <w:spacing w:before="0" w:after="60" w:line="288" w:lineRule="auto"/>
        <w:jc w:val="both"/>
      </w:pPr>
      <w:r>
        <w:rPr>
          <w:rFonts w:ascii="Times New Roman" w:hAnsi="Times New Roman"/>
          <w:b w:val="0"/>
          <w:i w:val="0"/>
          <w:sz w:val="26"/>
        </w:rPr>
        <w:t>- Bước 3 (Phân tích, suy ngẫm bài học): Tổ chức ngay sau tiết dạy ngày 28/10/2026. Không khí thảo luận cởi mở, chân thành, tập trung 100% vào hoạt động học của học sinh, rút ra được các giải pháp sư phạm điều chỉnh thiết thực.</w:t>
      </w:r>
    </w:p>
    <w:p>
      <w:pPr>
        <w:spacing w:before="0" w:after="60" w:line="288" w:lineRule="auto"/>
        <w:jc w:val="both"/>
      </w:pPr>
      <w:r>
        <w:rPr>
          <w:rFonts w:ascii="Times New Roman" w:hAnsi="Times New Roman"/>
          <w:b w:val="0"/>
          <w:i w:val="0"/>
          <w:sz w:val="26"/>
        </w:rPr>
        <w:t>- Bước 4 (Vận dụng vào thực tiễn): Triển khai trong suốt Tuần 9 (Đầu tháng 11 - Từ 02/11 đến 07/11/2026) tại các lớp 8A2, 8A3, 8A4; thực hiện dạy trọn vẹn cả 3 tiết (Tiết 16, 17, 18) gắn với hoạt động thực hành STEM đo bóng nắng ngoài sân trường.</w:t>
      </w:r>
    </w:p>
    <w:p>
      <w:pPr>
        <w:spacing w:before="0" w:after="60" w:line="288" w:lineRule="auto"/>
        <w:jc w:val="both"/>
      </w:pPr>
      <w:r>
        <w:rPr>
          <w:rFonts w:ascii="Times New Roman" w:hAnsi="Times New Roman"/>
          <w:b/>
          <w:i w:val="0"/>
          <w:sz w:val="26"/>
        </w:rPr>
        <w:t>II. KẾT QUẢ ĐẠT ĐƯỢC VỀ HOẠT ĐỘNG HỌC CỦA HỌC SINH</w:t>
      </w:r>
    </w:p>
    <w:p>
      <w:pPr>
        <w:spacing w:before="0" w:after="60" w:line="288" w:lineRule="auto"/>
        <w:jc w:val="both"/>
      </w:pPr>
      <w:r>
        <w:rPr>
          <w:rFonts w:ascii="Times New Roman" w:hAnsi="Times New Roman"/>
          <w:b w:val="0"/>
          <w:i w:val="0"/>
          <w:sz w:val="26"/>
        </w:rPr>
        <w:t>Tổ chuyên môn đã tiến hành khảo sát và đánh giá học sinh trên toàn bộ 4 lớp khối 8 sau khi hoàn thành chuỗi 3 tiết:</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3600"/>
            <w:shd w:fill="F1F5F9"/>
            <w:tcMar>
              <w:top w:w="70" w:type="dxa"/>
              <w:bottom w:w="70" w:type="dxa"/>
              <w:left w:w="60" w:type="dxa"/>
              <w:right w:w="60" w:type="dxa"/>
            </w:tcMar>
          </w:tcPr>
          <w:p>
            <w:pPr>
              <w:jc w:val="center"/>
            </w:pPr>
            <w:r>
              <w:rPr>
                <w:rFonts w:ascii="Times New Roman" w:hAnsi="Times New Roman"/>
                <w:b/>
                <w:sz w:val="22"/>
              </w:rPr>
              <w:t>Nội dung khảo sát đánh giá</w:t>
            </w:r>
          </w:p>
        </w:tc>
        <w:tc>
          <w:tcPr>
            <w:tcW w:type="dxa" w:w="2160"/>
            <w:shd w:fill="F1F5F9"/>
            <w:tcMar>
              <w:top w:w="70" w:type="dxa"/>
              <w:bottom w:w="70" w:type="dxa"/>
              <w:left w:w="60" w:type="dxa"/>
              <w:right w:w="60" w:type="dxa"/>
            </w:tcMar>
          </w:tcPr>
          <w:p>
            <w:pPr>
              <w:jc w:val="center"/>
            </w:pPr>
            <w:r>
              <w:rPr>
                <w:rFonts w:ascii="Times New Roman" w:hAnsi="Times New Roman"/>
                <w:b/>
                <w:sz w:val="22"/>
              </w:rPr>
              <w:t>Khi chưa áp dụng NCBH (Năm trước)</w:t>
            </w:r>
          </w:p>
        </w:tc>
        <w:tc>
          <w:tcPr>
            <w:tcW w:type="dxa" w:w="2160"/>
            <w:shd w:fill="F1F5F9"/>
            <w:tcMar>
              <w:top w:w="70" w:type="dxa"/>
              <w:bottom w:w="70" w:type="dxa"/>
              <w:left w:w="60" w:type="dxa"/>
              <w:right w:w="60" w:type="dxa"/>
            </w:tcMar>
          </w:tcPr>
          <w:p>
            <w:pPr>
              <w:jc w:val="center"/>
            </w:pPr>
            <w:r>
              <w:rPr>
                <w:rFonts w:ascii="Times New Roman" w:hAnsi="Times New Roman"/>
                <w:b/>
                <w:sz w:val="22"/>
              </w:rPr>
              <w:t>Sau khi áp dụng NCBH (Khối 8)</w:t>
            </w:r>
          </w:p>
        </w:tc>
        <w:tc>
          <w:tcPr>
            <w:tcW w:type="dxa" w:w="1728"/>
            <w:shd w:fill="F1F5F9"/>
            <w:tcMar>
              <w:top w:w="70" w:type="dxa"/>
              <w:bottom w:w="70" w:type="dxa"/>
              <w:left w:w="60" w:type="dxa"/>
              <w:right w:w="60" w:type="dxa"/>
            </w:tcMar>
          </w:tcPr>
          <w:p>
            <w:pPr>
              <w:jc w:val="center"/>
            </w:pPr>
            <w:r>
              <w:rPr>
                <w:rFonts w:ascii="Times New Roman" w:hAnsi="Times New Roman"/>
                <w:b/>
                <w:sz w:val="22"/>
              </w:rPr>
              <w:t>Mức độ cải thiện</w:t>
            </w:r>
          </w:p>
        </w:tc>
      </w:tr>
      <w:tr>
        <w:tc>
          <w:tcPr>
            <w:tcW w:type="dxa" w:w="3600"/>
            <w:tcMar>
              <w:top w:w="60" w:type="dxa"/>
              <w:bottom w:w="60" w:type="dxa"/>
              <w:left w:w="60" w:type="dxa"/>
              <w:right w:w="60" w:type="dxa"/>
            </w:tcMar>
          </w:tcPr>
          <w:p>
            <w:pPr>
              <w:spacing w:line="276" w:lineRule="auto" w:after="40"/>
              <w:jc w:val="left"/>
            </w:pPr>
            <w:r>
              <w:rPr>
                <w:rFonts w:ascii="Times New Roman" w:hAnsi="Times New Roman"/>
                <w:sz w:val="22"/>
              </w:rPr>
              <w:t>Tỉ lệ HS hiểu bản chất &amp; phát biểu đúng định lý</w:t>
            </w:r>
          </w:p>
        </w:tc>
        <w:tc>
          <w:tcPr>
            <w:tcW w:type="dxa" w:w="2160"/>
            <w:tcMar>
              <w:top w:w="60" w:type="dxa"/>
              <w:bottom w:w="60" w:type="dxa"/>
              <w:left w:w="60" w:type="dxa"/>
              <w:right w:w="60" w:type="dxa"/>
            </w:tcMar>
          </w:tcPr>
          <w:p>
            <w:pPr>
              <w:spacing w:line="276" w:lineRule="auto" w:after="40"/>
              <w:jc w:val="center"/>
            </w:pPr>
            <w:r>
              <w:rPr>
                <w:rFonts w:ascii="Times New Roman" w:hAnsi="Times New Roman"/>
                <w:sz w:val="22"/>
              </w:rPr>
              <w:t>65.5%</w:t>
            </w:r>
          </w:p>
        </w:tc>
        <w:tc>
          <w:tcPr>
            <w:tcW w:type="dxa" w:w="2160"/>
            <w:tcMar>
              <w:top w:w="60" w:type="dxa"/>
              <w:bottom w:w="60" w:type="dxa"/>
              <w:left w:w="60" w:type="dxa"/>
              <w:right w:w="60" w:type="dxa"/>
            </w:tcMar>
          </w:tcPr>
          <w:p>
            <w:pPr>
              <w:spacing w:line="276" w:lineRule="auto" w:after="40"/>
              <w:jc w:val="center"/>
            </w:pPr>
            <w:r>
              <w:rPr>
                <w:rFonts w:ascii="Times New Roman" w:hAnsi="Times New Roman"/>
                <w:sz w:val="22"/>
              </w:rPr>
              <w:t>94.7%</w:t>
            </w:r>
          </w:p>
        </w:tc>
        <w:tc>
          <w:tcPr>
            <w:tcW w:type="dxa" w:w="1728"/>
            <w:tcMar>
              <w:top w:w="60" w:type="dxa"/>
              <w:bottom w:w="60" w:type="dxa"/>
              <w:left w:w="60" w:type="dxa"/>
              <w:right w:w="60" w:type="dxa"/>
            </w:tcMar>
          </w:tcPr>
          <w:p>
            <w:pPr>
              <w:spacing w:line="276" w:lineRule="auto" w:after="40"/>
              <w:jc w:val="center"/>
            </w:pPr>
            <w:r>
              <w:rPr>
                <w:rFonts w:ascii="Times New Roman" w:hAnsi="Times New Roman"/>
                <w:b/>
                <w:sz w:val="22"/>
              </w:rPr>
              <w:t>Tăng 29.2%</w:t>
            </w:r>
          </w:p>
        </w:tc>
      </w:tr>
      <w:tr>
        <w:tc>
          <w:tcPr>
            <w:tcW w:type="dxa" w:w="3600"/>
            <w:tcMar>
              <w:top w:w="60" w:type="dxa"/>
              <w:bottom w:w="60" w:type="dxa"/>
              <w:left w:w="60" w:type="dxa"/>
              <w:right w:w="60" w:type="dxa"/>
            </w:tcMar>
          </w:tcPr>
          <w:p>
            <w:pPr>
              <w:spacing w:line="276" w:lineRule="auto" w:after="40"/>
              <w:jc w:val="left"/>
            </w:pPr>
            <w:r>
              <w:rPr>
                <w:rFonts w:ascii="Times New Roman" w:hAnsi="Times New Roman"/>
                <w:sz w:val="22"/>
              </w:rPr>
              <w:t>Tỉ lệ HS lập đúng các cặp đoạn thẳng tương ứng tỉ lệ</w:t>
            </w:r>
          </w:p>
        </w:tc>
        <w:tc>
          <w:tcPr>
            <w:tcW w:type="dxa" w:w="2160"/>
            <w:tcMar>
              <w:top w:w="60" w:type="dxa"/>
              <w:bottom w:w="60" w:type="dxa"/>
              <w:left w:w="60" w:type="dxa"/>
              <w:right w:w="60" w:type="dxa"/>
            </w:tcMar>
          </w:tcPr>
          <w:p>
            <w:pPr>
              <w:spacing w:line="276" w:lineRule="auto" w:after="40"/>
              <w:jc w:val="center"/>
            </w:pPr>
            <w:r>
              <w:rPr>
                <w:rFonts w:ascii="Times New Roman" w:hAnsi="Times New Roman"/>
                <w:sz w:val="22"/>
              </w:rPr>
              <w:t>58.0%</w:t>
            </w:r>
          </w:p>
        </w:tc>
        <w:tc>
          <w:tcPr>
            <w:tcW w:type="dxa" w:w="2160"/>
            <w:tcMar>
              <w:top w:w="60" w:type="dxa"/>
              <w:bottom w:w="60" w:type="dxa"/>
              <w:left w:w="60" w:type="dxa"/>
              <w:right w:w="60" w:type="dxa"/>
            </w:tcMar>
          </w:tcPr>
          <w:p>
            <w:pPr>
              <w:spacing w:line="276" w:lineRule="auto" w:after="40"/>
              <w:jc w:val="center"/>
            </w:pPr>
            <w:r>
              <w:rPr>
                <w:rFonts w:ascii="Times New Roman" w:hAnsi="Times New Roman"/>
                <w:sz w:val="22"/>
              </w:rPr>
              <w:t>89.5%</w:t>
            </w:r>
          </w:p>
        </w:tc>
        <w:tc>
          <w:tcPr>
            <w:tcW w:type="dxa" w:w="1728"/>
            <w:tcMar>
              <w:top w:w="60" w:type="dxa"/>
              <w:bottom w:w="60" w:type="dxa"/>
              <w:left w:w="60" w:type="dxa"/>
              <w:right w:w="60" w:type="dxa"/>
            </w:tcMar>
          </w:tcPr>
          <w:p>
            <w:pPr>
              <w:spacing w:line="276" w:lineRule="auto" w:after="40"/>
              <w:jc w:val="center"/>
            </w:pPr>
            <w:r>
              <w:rPr>
                <w:rFonts w:ascii="Times New Roman" w:hAnsi="Times New Roman"/>
                <w:b/>
                <w:sz w:val="22"/>
              </w:rPr>
              <w:t>Tăng 31.5%</w:t>
            </w:r>
          </w:p>
        </w:tc>
      </w:tr>
      <w:tr>
        <w:tc>
          <w:tcPr>
            <w:tcW w:type="dxa" w:w="3600"/>
            <w:tcMar>
              <w:top w:w="60" w:type="dxa"/>
              <w:bottom w:w="60" w:type="dxa"/>
              <w:left w:w="60" w:type="dxa"/>
              <w:right w:w="60" w:type="dxa"/>
            </w:tcMar>
          </w:tcPr>
          <w:p>
            <w:pPr>
              <w:spacing w:line="276" w:lineRule="auto" w:after="40"/>
              <w:jc w:val="left"/>
            </w:pPr>
            <w:r>
              <w:rPr>
                <w:rFonts w:ascii="Times New Roman" w:hAnsi="Times New Roman"/>
                <w:sz w:val="22"/>
              </w:rPr>
              <w:t>Tỉ lệ HS mắc lỗi nhầm lẫn thứ tự đoạn thẳng</w:t>
            </w:r>
          </w:p>
        </w:tc>
        <w:tc>
          <w:tcPr>
            <w:tcW w:type="dxa" w:w="2160"/>
            <w:tcMar>
              <w:top w:w="60" w:type="dxa"/>
              <w:bottom w:w="60" w:type="dxa"/>
              <w:left w:w="60" w:type="dxa"/>
              <w:right w:w="60" w:type="dxa"/>
            </w:tcMar>
          </w:tcPr>
          <w:p>
            <w:pPr>
              <w:spacing w:line="276" w:lineRule="auto" w:after="40"/>
              <w:jc w:val="center"/>
            </w:pPr>
            <w:r>
              <w:rPr>
                <w:rFonts w:ascii="Times New Roman" w:hAnsi="Times New Roman"/>
                <w:sz w:val="22"/>
              </w:rPr>
              <w:t>34.5%</w:t>
            </w:r>
          </w:p>
        </w:tc>
        <w:tc>
          <w:tcPr>
            <w:tcW w:type="dxa" w:w="2160"/>
            <w:tcMar>
              <w:top w:w="60" w:type="dxa"/>
              <w:bottom w:w="60" w:type="dxa"/>
              <w:left w:w="60" w:type="dxa"/>
              <w:right w:w="60" w:type="dxa"/>
            </w:tcMar>
          </w:tcPr>
          <w:p>
            <w:pPr>
              <w:spacing w:line="276" w:lineRule="auto" w:after="40"/>
              <w:jc w:val="center"/>
            </w:pPr>
            <w:r>
              <w:rPr>
                <w:rFonts w:ascii="Times New Roman" w:hAnsi="Times New Roman"/>
                <w:sz w:val="22"/>
              </w:rPr>
              <w:t>5.3%</w:t>
            </w:r>
          </w:p>
        </w:tc>
        <w:tc>
          <w:tcPr>
            <w:tcW w:type="dxa" w:w="1728"/>
            <w:tcMar>
              <w:top w:w="60" w:type="dxa"/>
              <w:bottom w:w="60" w:type="dxa"/>
              <w:left w:w="60" w:type="dxa"/>
              <w:right w:w="60" w:type="dxa"/>
            </w:tcMar>
          </w:tcPr>
          <w:p>
            <w:pPr>
              <w:spacing w:line="276" w:lineRule="auto" w:after="40"/>
              <w:jc w:val="center"/>
            </w:pPr>
            <w:r>
              <w:rPr>
                <w:rFonts w:ascii="Times New Roman" w:hAnsi="Times New Roman"/>
                <w:b/>
                <w:sz w:val="22"/>
              </w:rPr>
              <w:t>Giảm 29.2%</w:t>
            </w:r>
          </w:p>
        </w:tc>
      </w:tr>
      <w:tr>
        <w:tc>
          <w:tcPr>
            <w:tcW w:type="dxa" w:w="3600"/>
            <w:tcMar>
              <w:top w:w="60" w:type="dxa"/>
              <w:bottom w:w="60" w:type="dxa"/>
              <w:left w:w="60" w:type="dxa"/>
              <w:right w:w="60" w:type="dxa"/>
            </w:tcMar>
          </w:tcPr>
          <w:p>
            <w:pPr>
              <w:spacing w:line="276" w:lineRule="auto" w:after="40"/>
              <w:jc w:val="left"/>
            </w:pPr>
            <w:r>
              <w:rPr>
                <w:rFonts w:ascii="Times New Roman" w:hAnsi="Times New Roman"/>
                <w:sz w:val="22"/>
              </w:rPr>
              <w:t>Tỉ lệ HS đạt điểm Khá, Giỏi bài kiểm tra chuyên đề</w:t>
            </w:r>
          </w:p>
        </w:tc>
        <w:tc>
          <w:tcPr>
            <w:tcW w:type="dxa" w:w="2160"/>
            <w:tcMar>
              <w:top w:w="60" w:type="dxa"/>
              <w:bottom w:w="60" w:type="dxa"/>
              <w:left w:w="60" w:type="dxa"/>
              <w:right w:w="60" w:type="dxa"/>
            </w:tcMar>
          </w:tcPr>
          <w:p>
            <w:pPr>
              <w:spacing w:line="276" w:lineRule="auto" w:after="40"/>
              <w:jc w:val="center"/>
            </w:pPr>
            <w:r>
              <w:rPr>
                <w:rFonts w:ascii="Times New Roman" w:hAnsi="Times New Roman"/>
                <w:sz w:val="22"/>
              </w:rPr>
              <w:t>62.0%</w:t>
            </w:r>
          </w:p>
        </w:tc>
        <w:tc>
          <w:tcPr>
            <w:tcW w:type="dxa" w:w="2160"/>
            <w:tcMar>
              <w:top w:w="60" w:type="dxa"/>
              <w:bottom w:w="60" w:type="dxa"/>
              <w:left w:w="60" w:type="dxa"/>
              <w:right w:w="60" w:type="dxa"/>
            </w:tcMar>
          </w:tcPr>
          <w:p>
            <w:pPr>
              <w:spacing w:line="276" w:lineRule="auto" w:after="40"/>
              <w:jc w:val="center"/>
            </w:pPr>
            <w:r>
              <w:rPr>
                <w:rFonts w:ascii="Times New Roman" w:hAnsi="Times New Roman"/>
                <w:sz w:val="22"/>
              </w:rPr>
              <w:t>92.1%</w:t>
            </w:r>
          </w:p>
        </w:tc>
        <w:tc>
          <w:tcPr>
            <w:tcW w:type="dxa" w:w="1728"/>
            <w:tcMar>
              <w:top w:w="60" w:type="dxa"/>
              <w:bottom w:w="60" w:type="dxa"/>
              <w:left w:w="60" w:type="dxa"/>
              <w:right w:w="60" w:type="dxa"/>
            </w:tcMar>
          </w:tcPr>
          <w:p>
            <w:pPr>
              <w:spacing w:line="276" w:lineRule="auto" w:after="40"/>
              <w:jc w:val="center"/>
            </w:pPr>
            <w:r>
              <w:rPr>
                <w:rFonts w:ascii="Times New Roman" w:hAnsi="Times New Roman"/>
                <w:b/>
                <w:sz w:val="22"/>
              </w:rPr>
              <w:t>Tăng 30.1%</w:t>
            </w:r>
          </w:p>
        </w:tc>
      </w:tr>
    </w:tbl>
    <w:p>
      <w:pPr>
        <w:spacing w:before="0" w:after="80" w:line="288" w:lineRule="auto"/>
        <w:jc w:val="both"/>
      </w:pPr>
    </w:p>
    <w:p>
      <w:pPr>
        <w:spacing w:before="0" w:after="60" w:line="288" w:lineRule="auto"/>
        <w:jc w:val="both"/>
      </w:pPr>
      <w:r>
        <w:rPr>
          <w:rFonts w:ascii="Times New Roman" w:hAnsi="Times New Roman"/>
          <w:b/>
          <w:i w:val="0"/>
          <w:sz w:val="26"/>
        </w:rPr>
        <w:t>III. NHỮNG BÀI HỌC KINH NGHIỆM SƯ PHẠM RÚT RA</w:t>
      </w:r>
    </w:p>
    <w:p>
      <w:pPr>
        <w:spacing w:before="0" w:after="60" w:line="288" w:lineRule="auto"/>
        <w:jc w:val="both"/>
      </w:pPr>
      <w:r>
        <w:rPr>
          <w:rFonts w:ascii="Times New Roman" w:hAnsi="Times New Roman"/>
          <w:b w:val="0"/>
          <w:i w:val="0"/>
          <w:sz w:val="26"/>
        </w:rPr>
        <w:t>1. Về phương pháp dạy học hình học trực quan:</w:t>
      </w:r>
    </w:p>
    <w:p>
      <w:pPr>
        <w:spacing w:before="0" w:after="60" w:line="288" w:lineRule="auto"/>
        <w:jc w:val="both"/>
      </w:pPr>
      <w:r>
        <w:rPr>
          <w:rFonts w:ascii="Times New Roman" w:hAnsi="Times New Roman"/>
          <w:b w:val="0"/>
          <w:i w:val="0"/>
          <w:sz w:val="26"/>
        </w:rPr>
        <w:t>- Sử dụng lưới ô vuông kết hợp phần mềm hình học động GeoGebra giúp biến các khái niệm tỉ số trừu tượng thành hình ảnh trực quan sinh động. Học sinh được tự tay thao tác đo đạc, kéo thả điểm thì nhớ sâu và hiểu bản chất gấp nhiều lần so với việc nghe giảng thụ động.</w:t>
      </w:r>
    </w:p>
    <w:p>
      <w:pPr>
        <w:spacing w:before="0" w:after="60" w:line="288" w:lineRule="auto"/>
        <w:jc w:val="both"/>
      </w:pPr>
      <w:r>
        <w:rPr>
          <w:rFonts w:ascii="Times New Roman" w:hAnsi="Times New Roman"/>
          <w:b w:val="0"/>
          <w:i w:val="0"/>
          <w:sz w:val="26"/>
        </w:rPr>
        <w:t>2. Về tổ chức giáo dục STEM thực tế (Tiết 18):</w:t>
      </w:r>
    </w:p>
    <w:p>
      <w:pPr>
        <w:spacing w:before="0" w:after="60" w:line="288" w:lineRule="auto"/>
        <w:jc w:val="both"/>
      </w:pPr>
      <w:r>
        <w:rPr>
          <w:rFonts w:ascii="Times New Roman" w:hAnsi="Times New Roman"/>
          <w:b w:val="0"/>
          <w:i w:val="0"/>
          <w:sz w:val="26"/>
        </w:rPr>
        <w:t>- Đưa học sinh ra sân trường thực hành đo bóng nắng mặt trời tạo ra sự gắn kết tuyệt vời giữa lý thuyết sách vở và ứng dụng thực tiễn. Học sinh hiểu được tại sao các nhà toán học cổ đại lại sáng tạo ra định lý.</w:t>
      </w:r>
    </w:p>
    <w:p>
      <w:pPr>
        <w:spacing w:before="0" w:after="60" w:line="288" w:lineRule="auto"/>
        <w:jc w:val="both"/>
      </w:pPr>
      <w:r>
        <w:rPr>
          <w:rFonts w:ascii="Times New Roman" w:hAnsi="Times New Roman"/>
          <w:b w:val="0"/>
          <w:i w:val="0"/>
          <w:sz w:val="26"/>
        </w:rPr>
        <w:t>3. Về kỹ thuật quản lý hoạt động nhóm thực chất:</w:t>
      </w:r>
    </w:p>
    <w:p>
      <w:pPr>
        <w:spacing w:before="0" w:after="60" w:line="288" w:lineRule="auto"/>
        <w:jc w:val="both"/>
      </w:pPr>
      <w:r>
        <w:rPr>
          <w:rFonts w:ascii="Times New Roman" w:hAnsi="Times New Roman"/>
          <w:b w:val="0"/>
          <w:i w:val="0"/>
          <w:sz w:val="26"/>
        </w:rPr>
        <w:t>- Phân vai rõ ràng cho từng thành viên trong nhóm 4 người (nhóm trưởng điều phối, thư ký ghi chép, thành viên phản biện và kiểm tra số liệu) giúp triệt tiêu hoàn toàn tình trạng học sinh ngồi chơi ỷ lại.</w:t>
      </w:r>
    </w:p>
    <w:p>
      <w:pPr>
        <w:spacing w:before="0" w:after="60" w:line="288" w:lineRule="auto"/>
        <w:jc w:val="both"/>
      </w:pPr>
      <w:r>
        <w:rPr>
          <w:rFonts w:ascii="Times New Roman" w:hAnsi="Times New Roman"/>
          <w:b/>
          <w:i w:val="0"/>
          <w:sz w:val="26"/>
        </w:rPr>
        <w:t>IV. KẾ HOẠCH DUY TRÌ VÀ LAN TỎA SAU BƯỚC 4</w:t>
      </w:r>
    </w:p>
    <w:p>
      <w:pPr>
        <w:spacing w:before="0" w:after="60" w:line="288" w:lineRule="auto"/>
        <w:jc w:val="both"/>
      </w:pPr>
      <w:r>
        <w:rPr>
          <w:rFonts w:ascii="Times New Roman" w:hAnsi="Times New Roman"/>
          <w:b w:val="0"/>
          <w:i w:val="0"/>
          <w:sz w:val="26"/>
        </w:rPr>
        <w:t>- Tiếp tục áp dụng quy trình thiết kế bài dạy trực quan gắn với chuyển đổi số cho các bài học tiếp theo của Chương IV:</w:t>
      </w:r>
    </w:p>
    <w:p>
      <w:pPr>
        <w:spacing w:before="0" w:after="60" w:line="288" w:lineRule="auto"/>
        <w:jc w:val="both"/>
      </w:pPr>
      <w:r>
        <w:rPr>
          <w:rFonts w:ascii="Times New Roman" w:hAnsi="Times New Roman"/>
          <w:b w:val="0"/>
          <w:i w:val="0"/>
          <w:sz w:val="26"/>
        </w:rPr>
        <w:t xml:space="preserve">  + Bài 16: Đường trung bình của tam giác (Tiết 21, 22 - Tuần 11, 12);</w:t>
      </w:r>
    </w:p>
    <w:p>
      <w:pPr>
        <w:spacing w:before="0" w:after="60" w:line="288" w:lineRule="auto"/>
        <w:jc w:val="both"/>
      </w:pPr>
      <w:r>
        <w:rPr>
          <w:rFonts w:ascii="Times New Roman" w:hAnsi="Times New Roman"/>
          <w:b w:val="0"/>
          <w:i w:val="0"/>
          <w:sz w:val="26"/>
        </w:rPr>
        <w:t xml:space="preserve">  + Bài 17: Tính chất đường phân giác của tam giác (Tiết 23 - Tuần 13).</w:t>
      </w:r>
    </w:p>
    <w:p>
      <w:pPr>
        <w:spacing w:before="0" w:after="60" w:line="288" w:lineRule="auto"/>
        <w:jc w:val="both"/>
      </w:pPr>
      <w:r>
        <w:rPr>
          <w:rFonts w:ascii="Times New Roman" w:hAnsi="Times New Roman"/>
          <w:b w:val="0"/>
          <w:i w:val="0"/>
          <w:sz w:val="26"/>
        </w:rPr>
        <w:t>- Đưa toàn bộ sản phẩm hồ sơ NCBH lên kho học liệu số của trường để toàn thể giáo viên tham khảo, nhân rộng.</w:t>
      </w:r>
    </w:p>
    <w:p>
      <w:pPr>
        <w:spacing w:before="0" w:after="200" w:line="288" w:lineRule="auto"/>
        <w:jc w:val="both"/>
      </w:pPr>
    </w:p>
    <w:tbl>
      <w:tblPr>
        <w:tblW w:type="auto" w:w="0"/>
        <w:jc w:val="center"/>
        <w:tblLayout w:type="fixed"/>
        <w:tblLook w:firstColumn="1" w:firstRow="1" w:lastColumn="0" w:lastRow="0" w:noHBand="0" w:noVBand="1" w:val="04A0"/>
      </w:tblPr>
      <w:tblGrid>
        <w:gridCol w:w="4680"/>
        <w:gridCol w:w="4680"/>
      </w:tblGrid>
      <w:tr>
        <w:tc>
          <w:tcPr>
            <w:tcW w:type="dxa" w:w="4608"/>
            <w:tcMar>
              <w:top w:w="0" w:type="dxa"/>
              <w:bottom w:w="0" w:type="dxa"/>
              <w:left w:w="0" w:type="dxa"/>
              <w:right w:w="0" w:type="dxa"/>
            </w:tcMar>
          </w:tcPr>
          <w:p>
            <w:pPr>
              <w:spacing w:line="276" w:lineRule="auto"/>
              <w:jc w:val="center"/>
            </w:pPr>
            <w:r>
              <w:rPr>
                <w:rFonts w:ascii="Times New Roman" w:hAnsi="Times New Roman"/>
                <w:b/>
                <w:sz w:val="24"/>
              </w:rPr>
              <w:t>HIỆU TRƯỞNG PHÊ DUYỆT</w:t>
              <w:br/>
            </w:r>
            <w:r>
              <w:rPr>
                <w:rFonts w:ascii="Times New Roman" w:hAnsi="Times New Roman"/>
                <w:i/>
                <w:sz w:val="22"/>
              </w:rPr>
              <w:t>(Ký, ghi rõ họ tên và đóng dấu)</w:t>
              <w:br/>
            </w:r>
            <w:r>
              <w:br/>
              <w:br/>
              <w:br/>
              <w:br/>
            </w:r>
            <w:r>
              <w:rPr>
                <w:rFonts w:ascii="Times New Roman" w:hAnsi="Times New Roman"/>
                <w:b/>
                <w:sz w:val="25"/>
              </w:rPr>
              <w:t>Nguyễn Văn An</w:t>
            </w:r>
          </w:p>
        </w:tc>
        <w:tc>
          <w:tcPr>
            <w:tcW w:type="dxa" w:w="4752"/>
            <w:tcMar>
              <w:top w:w="0" w:type="dxa"/>
              <w:bottom w:w="0" w:type="dxa"/>
              <w:left w:w="0" w:type="dxa"/>
              <w:right w:w="0" w:type="dxa"/>
            </w:tcMar>
          </w:tcPr>
          <w:p>
            <w:pPr>
              <w:spacing w:line="276" w:lineRule="auto"/>
              <w:jc w:val="center"/>
            </w:pPr>
            <w:r>
              <w:rPr>
                <w:rFonts w:ascii="Times New Roman" w:hAnsi="Times New Roman"/>
                <w:b/>
                <w:sz w:val="24"/>
              </w:rPr>
              <w:t>TỔ TRƯỞNG CHUYÊN MÔN</w:t>
              <w:br/>
            </w:r>
            <w:r>
              <w:rPr>
                <w:rFonts w:ascii="Times New Roman" w:hAnsi="Times New Roman"/>
                <w:i/>
                <w:sz w:val="22"/>
              </w:rPr>
              <w:t>(Ký và ghi rõ họ tên)</w:t>
              <w:br/>
            </w:r>
            <w:r>
              <w:br/>
              <w:br/>
              <w:br/>
              <w:br/>
            </w:r>
            <w:r>
              <w:rPr>
                <w:rFonts w:ascii="Times New Roman" w:hAnsi="Times New Roman"/>
                <w:b/>
                <w:sz w:val="25"/>
              </w:rPr>
              <w:t>Hoàng Tấn Thiên</w:t>
            </w:r>
          </w:p>
        </w:tc>
      </w:tr>
    </w:tbl>
    <w:sectPr w:rsidR="00FC693F" w:rsidRPr="0006063C" w:rsidSect="00034616">
      <w:pgSz w:w="11909" w:h="16834"/>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