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bookmarkStart w:id="0" w:name="_Toc79856878"/>
      <w:r>
        <w:rPr>
          <w:bCs/>
        </w:rPr>
        <w:t xml:space="preserve">ĐĂNG </w:t>
      </w:r>
      <w:r>
        <w:t>KÝ HỌC PHẦN</w:t>
      </w:r>
      <w:bookmarkEnd w:id="0"/>
    </w:p>
    <w:p>
      <w:pPr>
        <w:pStyle w:val="3"/>
        <w:numPr>
          <w:ilvl w:val="0"/>
          <w:numId w:val="2"/>
        </w:numPr>
        <w:rPr>
          <w:bCs/>
        </w:rPr>
      </w:pPr>
      <w:bookmarkStart w:id="1" w:name="_heading=h.1fob9te" w:colFirst="0" w:colLast="0"/>
      <w:bookmarkEnd w:id="1"/>
      <w:bookmarkStart w:id="2" w:name="_Toc79856879"/>
      <w:r>
        <w:rPr>
          <w:bCs/>
        </w:rPr>
        <w:t>Các loại học phần</w:t>
      </w:r>
      <w:bookmarkEnd w:id="2"/>
    </w:p>
    <w:p>
      <w:pPr>
        <w:ind w:firstLine="720"/>
        <w:jc w:val="both"/>
        <w:rPr>
          <w:szCs w:val="26"/>
        </w:rPr>
      </w:pPr>
      <w:r>
        <w:rPr>
          <w:szCs w:val="26"/>
        </w:rPr>
        <w:t>a) Học phần bắt buộc là học phần có những nội dung kiến thức chính của chương trình đào tạo. Sinh viên bắt buộc phải tích lũy;</w:t>
      </w:r>
    </w:p>
    <w:p>
      <w:pPr>
        <w:ind w:firstLine="720"/>
        <w:jc w:val="both"/>
        <w:rPr>
          <w:szCs w:val="26"/>
        </w:rPr>
      </w:pPr>
      <w:r>
        <w:rPr>
          <w:szCs w:val="26"/>
        </w:rPr>
        <w:t>b) Học phần tự chọn có điều kiện là học phần có những nội dung kiến thức thể hiện tính đa dạng của chương trình đào tạo. Sinh viên lựa chọn trong số các học phần tự chọn theo quy định của chương trình đào tạo để hoàn thành học phần;</w:t>
      </w:r>
    </w:p>
    <w:p>
      <w:pPr>
        <w:ind w:firstLine="720"/>
        <w:jc w:val="both"/>
        <w:rPr>
          <w:szCs w:val="26"/>
        </w:rPr>
      </w:pPr>
      <w:r>
        <w:rPr>
          <w:szCs w:val="26"/>
        </w:rPr>
        <w:t>c) Học phần tự chọn tự do là học phần do sinh viên chọn theo nhu cầu cá nhân. Kết quả đánh giá học phần tự chọn tự do không tính vào điểm trung bình chung học kỳ và điểm trung bình chung tích lũy, nhưng được ghi vào bảng điểm cấp kèm theo bằng tốt nghiệp đối với trường hợp đạt điểm D trở lên;</w:t>
      </w:r>
    </w:p>
    <w:p>
      <w:pPr>
        <w:ind w:firstLine="720"/>
        <w:jc w:val="both"/>
        <w:rPr>
          <w:szCs w:val="26"/>
        </w:rPr>
      </w:pPr>
      <w:r>
        <w:rPr>
          <w:szCs w:val="26"/>
        </w:rPr>
        <w:t xml:space="preserve">d) Học phần tiên quyết của một học phần là học phần bắt buộc sinh viên phải tích lũy trước khi học học phần đó; </w:t>
      </w:r>
    </w:p>
    <w:p>
      <w:pPr>
        <w:ind w:firstLine="720"/>
        <w:jc w:val="both"/>
        <w:rPr>
          <w:szCs w:val="26"/>
        </w:rPr>
      </w:pPr>
      <w:r>
        <w:rPr>
          <w:szCs w:val="26"/>
        </w:rPr>
        <w:t xml:space="preserve">e) Khóa luận, đồ án tốt nghiệp là học phần bắt buộc đối với chương trình đào tạo chất lượng cao và là học phần tự chọn có điều kiện đối với chương trình đào tạo chuẩn; </w:t>
      </w:r>
    </w:p>
    <w:p>
      <w:pPr>
        <w:ind w:firstLine="720"/>
        <w:jc w:val="both"/>
        <w:rPr>
          <w:szCs w:val="26"/>
        </w:rPr>
      </w:pPr>
      <w:r>
        <w:rPr>
          <w:szCs w:val="26"/>
        </w:rPr>
        <w:t>f) Học phần điều kiện là các học phần ngoại ngữ, giáo dục thể chất, giáo dục quốc phòng - an ninh và kỹ năng bổ trợ</w:t>
      </w:r>
      <w:r>
        <w:rPr>
          <w:szCs w:val="26"/>
          <w:lang w:val="vi-VN"/>
        </w:rPr>
        <w:t xml:space="preserve"> (học phần kỹ năng bổ trợ chỉ áp dụng đối với các khoá QH-2018-I/CQ trở về trước)</w:t>
      </w:r>
      <w:r>
        <w:rPr>
          <w:szCs w:val="26"/>
        </w:rPr>
        <w:t xml:space="preserve">. Kết quả đánh giá các học phần điều kiện không tính vào điểm trung bình chung học kỳ, điểm trung bình chung các học phần và điểm trung bình chung tích lũy, nhưng là điều kiện để xét tốt nghiệp. </w:t>
      </w:r>
    </w:p>
    <w:p>
      <w:pPr>
        <w:pStyle w:val="3"/>
        <w:numPr>
          <w:ilvl w:val="0"/>
          <w:numId w:val="2"/>
        </w:numPr>
      </w:pPr>
      <w:bookmarkStart w:id="3" w:name="_heading=h.3znysh7" w:colFirst="0" w:colLast="0"/>
      <w:bookmarkEnd w:id="3"/>
      <w:bookmarkStart w:id="4" w:name="_Toc79856880"/>
      <w:r>
        <w:t>Đăng ký học lại</w:t>
      </w:r>
      <w:bookmarkEnd w:id="4"/>
    </w:p>
    <w:p>
      <w:pPr>
        <w:ind w:firstLine="720"/>
        <w:jc w:val="both"/>
        <w:rPr>
          <w:szCs w:val="26"/>
        </w:rPr>
      </w:pPr>
      <w:r>
        <w:rPr>
          <w:szCs w:val="26"/>
        </w:rPr>
        <w:t xml:space="preserve">a) Đối với các học phần bắt buộc, nếu bị điểm F, sinh viên phải đăng ký học lại học phần đó; </w:t>
      </w:r>
    </w:p>
    <w:p>
      <w:pPr>
        <w:ind w:firstLine="720"/>
        <w:jc w:val="both"/>
        <w:rPr>
          <w:szCs w:val="26"/>
        </w:rPr>
      </w:pPr>
      <w:r>
        <w:rPr>
          <w:szCs w:val="26"/>
        </w:rPr>
        <w:t xml:space="preserve">b) Đối với học phần tự chọn có điều kiện, nếu bị điểm F, sinh viên đăng ký học lại học phần đó hoặc đăng ký học học phần tự chọn khác cùng khối kiến thức để thay thế. </w:t>
      </w:r>
    </w:p>
    <w:p>
      <w:pPr>
        <w:pStyle w:val="3"/>
        <w:numPr>
          <w:ilvl w:val="0"/>
          <w:numId w:val="2"/>
        </w:numPr>
      </w:pPr>
      <w:bookmarkStart w:id="5" w:name="_heading=h.2et92p0" w:colFirst="0" w:colLast="0"/>
      <w:bookmarkEnd w:id="5"/>
      <w:bookmarkStart w:id="6" w:name="_Toc79856881"/>
      <w:r>
        <w:t>Đăng ký học cải thiện điểm</w:t>
      </w:r>
      <w:bookmarkEnd w:id="6"/>
    </w:p>
    <w:p>
      <w:pPr>
        <w:ind w:firstLine="720"/>
        <w:jc w:val="both"/>
        <w:rPr>
          <w:szCs w:val="26"/>
        </w:rPr>
      </w:pPr>
      <w:r>
        <w:rPr>
          <w:szCs w:val="26"/>
        </w:rPr>
        <w:t>Đối với các học phần đạt điểm D, D</w:t>
      </w:r>
      <w:r>
        <w:rPr>
          <w:szCs w:val="26"/>
          <w:vertAlign w:val="superscript"/>
        </w:rPr>
        <w:t>+</w:t>
      </w:r>
      <w:r>
        <w:rPr>
          <w:szCs w:val="26"/>
        </w:rPr>
        <w:t xml:space="preserve"> sinh viên được đăng ký học lại học phần đó hoặc học đổi sang học phần khác (nếu là học phần tự chọn có điều kiện) để cải thiện điểm trung bình chung tích lũy. Điểm học phần cũ bị hủy bỏ khi việc đăng ký học lại để cải thiện điểm được chấp nhận và sẽ được thay bằng điểm học phần để cải thiện điểm. </w:t>
      </w:r>
    </w:p>
    <w:p>
      <w:pPr>
        <w:pStyle w:val="3"/>
        <w:numPr>
          <w:ilvl w:val="0"/>
          <w:numId w:val="2"/>
        </w:numPr>
      </w:pPr>
      <w:bookmarkStart w:id="7" w:name="_heading=h.tyjcwt" w:colFirst="0" w:colLast="0"/>
      <w:bookmarkEnd w:id="7"/>
      <w:bookmarkStart w:id="8" w:name="_Toc79856882"/>
      <w:r>
        <w:t>Số tín chỉ đăng ký trong một học kỳ</w:t>
      </w:r>
      <w:bookmarkEnd w:id="8"/>
    </w:p>
    <w:p>
      <w:pPr>
        <w:ind w:firstLine="709"/>
        <w:jc w:val="both"/>
        <w:rPr>
          <w:szCs w:val="26"/>
        </w:rPr>
      </w:pPr>
      <w:r>
        <w:rPr>
          <w:szCs w:val="26"/>
        </w:rPr>
        <w:t>Để đảm bảo tiến độ thời gian hoàn thành khóa học và đảm bảo chất lượng học tập, mỗi học kỳ sinh viên đăng ký với số lượng tín chỉ (không bao gồm các học phần ngoại ngữ, giáo dục thể chất, giáo dục quốc phòng - an ninh, kỹ năng bổ trợ, cải thiện điểm, tự chọn tự do) như sau:</w:t>
      </w:r>
    </w:p>
    <w:p>
      <w:pPr>
        <w:ind w:firstLine="709"/>
        <w:jc w:val="both"/>
        <w:rPr>
          <w:szCs w:val="26"/>
        </w:rPr>
      </w:pPr>
      <w:r>
        <w:rPr>
          <w:szCs w:val="26"/>
        </w:rPr>
        <w:t>Học kỳ chính, không tính học kỳ cuối khóa: tất cả sinh viên phải thực hiện đăng ký lớp học phần trước khi học kỳ mới bắt đầu. Số tín chỉ tối thiểu sinh viên phải đăng ký: 14 tín chỉ đối với sinh viên hệ chuẩn, 16 tín chỉ đối với chất lượng cao</w:t>
      </w:r>
      <w:r>
        <w:rPr>
          <w:szCs w:val="26"/>
          <w:lang w:val="vi-VN"/>
        </w:rPr>
        <w:t xml:space="preserve">. </w:t>
      </w:r>
      <w:r>
        <w:rPr>
          <w:szCs w:val="26"/>
        </w:rPr>
        <w:t>Số tín chỉ tối đa được phép đăng ký: 25 tín chỉ đối với sinh viên theo học một ngành, 28 tín chỉ đối với sinh viên theo học bằng kép. Chỉ những sinh viên đăng ký 14 tín chỉ trở lên mới được xét học bổng khuyến khích học tập. Trường hợp sinh viên có nguyện vọng đăng ký học ít hơn số tín chỉ tối thiểu trong một học kỳ phải được sự đồng ý của Thủ trưởng đơn vị đào tạo.</w:t>
      </w:r>
    </w:p>
    <w:p>
      <w:pPr>
        <w:ind w:firstLine="709"/>
        <w:jc w:val="both"/>
        <w:rPr>
          <w:szCs w:val="26"/>
        </w:rPr>
      </w:pPr>
      <w:r>
        <w:rPr>
          <w:szCs w:val="26"/>
        </w:rPr>
        <w:t>Học kỳ phụ: không bắt buộc, sinh viên đăng ký học theo nguyện vọng.</w:t>
      </w:r>
    </w:p>
    <w:p>
      <w:pPr>
        <w:ind w:firstLine="709"/>
        <w:jc w:val="both"/>
        <w:rPr>
          <w:szCs w:val="26"/>
        </w:rPr>
      </w:pPr>
      <w:r>
        <w:rPr>
          <w:szCs w:val="26"/>
        </w:rPr>
        <w:t>Sinh viên thuộc diện cảnh báo học vụ: tổng số tín chỉ đăng ký học (tối thiểu, tối đa) sẽ do Khoa và Phòng Đào tạo tư vấn và quy định cụ thể đối với từng trường hợp.</w:t>
      </w:r>
    </w:p>
    <w:p>
      <w:pPr>
        <w:pStyle w:val="3"/>
        <w:numPr>
          <w:ilvl w:val="0"/>
          <w:numId w:val="2"/>
        </w:numPr>
      </w:pPr>
      <w:bookmarkStart w:id="9" w:name="_heading=h.3dy6vkm" w:colFirst="0" w:colLast="0"/>
      <w:bookmarkEnd w:id="9"/>
      <w:bookmarkStart w:id="10" w:name="_Toc79856883"/>
      <w:r>
        <w:t>Đăng ký học phần</w:t>
      </w:r>
      <w:bookmarkEnd w:id="10"/>
    </w:p>
    <w:p>
      <w:pPr>
        <w:ind w:firstLine="720"/>
        <w:jc w:val="both"/>
        <w:rPr>
          <w:szCs w:val="26"/>
        </w:rPr>
      </w:pPr>
      <w:r>
        <w:rPr>
          <w:b/>
          <w:i/>
          <w:szCs w:val="26"/>
        </w:rPr>
        <w:t>Chú ý:</w:t>
      </w:r>
      <w:r>
        <w:rPr>
          <w:szCs w:val="26"/>
        </w:rPr>
        <w:t xml:space="preserve"> Đầu khóa học Nhà trường sẽ cung cấp cho sinh viên chương trình đào tạo ngành học, quy chế đào tạo và bố trí Cố vấn học tập. Sinh viên liên hệ với Cố vấn học tập để xây dựng kế hoạch học tập toàn khóa (Mẫu 3) và nộp lại cho Phòng Đào tạo.</w:t>
      </w:r>
    </w:p>
    <w:p>
      <w:pPr>
        <w:ind w:firstLine="720"/>
        <w:jc w:val="both"/>
        <w:rPr>
          <w:szCs w:val="26"/>
        </w:rPr>
      </w:pPr>
      <w:r>
        <w:rPr>
          <w:b/>
          <w:bCs/>
          <w:iCs/>
          <w:szCs w:val="26"/>
        </w:rPr>
        <w:t>Bước 1</w:t>
      </w:r>
      <w:r>
        <w:rPr>
          <w:i/>
          <w:szCs w:val="26"/>
        </w:rPr>
        <w:t>:</w:t>
      </w:r>
      <w:r>
        <w:rPr>
          <w:szCs w:val="26"/>
        </w:rPr>
        <w:t xml:space="preserve"> Đầu mỗi học kỳ, sinh viên căn cứ vào kế hoạch học tập của mình cùng với tư vấn của CVHT và thời khóa biểu do trường công bố để đăng ký lớp học phần trực tuyến theo kế hoạch chung của Nhà trường. Nếu sinh viên không đăng ký học nhà trường xem như sinh viên đã bỏ học ở học kỳ đó. (Chú ý: sinh viên mới trúng tuyển, không phải đăng ký lớp học phần cho học kỳ đầu tiên của khóa học, các học phần của học kỳ này sẽ do Nhà trường bố trí).</w:t>
      </w:r>
    </w:p>
    <w:p>
      <w:pPr>
        <w:ind w:firstLine="720"/>
        <w:jc w:val="both"/>
        <w:rPr>
          <w:szCs w:val="26"/>
        </w:rPr>
      </w:pPr>
      <w:r>
        <w:rPr>
          <w:b/>
          <w:bCs/>
          <w:szCs w:val="26"/>
        </w:rPr>
        <w:t>Bước 2:</w:t>
      </w:r>
      <w:r>
        <w:rPr>
          <w:szCs w:val="26"/>
        </w:rPr>
        <w:t xml:space="preserve"> P.ĐT công bố kết quả đăng ký học học kỳ I năm học 202</w:t>
      </w:r>
      <w:r>
        <w:rPr>
          <w:szCs w:val="26"/>
          <w:lang w:val="vi-VN"/>
        </w:rPr>
        <w:t>1</w:t>
      </w:r>
      <w:r>
        <w:rPr>
          <w:szCs w:val="26"/>
        </w:rPr>
        <w:t>-202</w:t>
      </w:r>
      <w:r>
        <w:rPr>
          <w:szCs w:val="26"/>
          <w:lang w:val="vi-VN"/>
        </w:rPr>
        <w:t>2</w:t>
      </w:r>
      <w:r>
        <w:rPr>
          <w:szCs w:val="26"/>
        </w:rPr>
        <w:t xml:space="preserve"> của sinh viên trên Website, sinh viên có trách nhiệm kiểm tra tổng số tín chỉ đã đăng ký, tên của sinh viên trong Danh sách lớp môn học đã đăng ký và loại môn học. Yêu cầu sinh viên kiểm tra kết quả đăng ký học của mình, nếu có vướng mắc gì sinh viên liên hệ với P.ĐT</w:t>
      </w:r>
      <w:r>
        <w:rPr>
          <w:szCs w:val="26"/>
          <w:lang w:val="vi-VN"/>
        </w:rPr>
        <w:t xml:space="preserve"> </w:t>
      </w:r>
      <w:r>
        <w:rPr>
          <w:szCs w:val="26"/>
        </w:rPr>
        <w:t>để được hỗ trợ giải quyết (điều kiện để được mở lớp: sĩ số đăng ký &gt;= 20 sinh viên)</w:t>
      </w:r>
    </w:p>
    <w:p>
      <w:pPr>
        <w:ind w:firstLine="720"/>
        <w:jc w:val="both"/>
        <w:rPr>
          <w:szCs w:val="26"/>
        </w:rPr>
      </w:pPr>
      <w:r>
        <w:rPr>
          <w:b/>
          <w:bCs/>
          <w:szCs w:val="26"/>
        </w:rPr>
        <w:t>Bước 3:</w:t>
      </w:r>
      <w:r>
        <w:rPr>
          <w:szCs w:val="26"/>
        </w:rPr>
        <w:t xml:space="preserve"> Sinh</w:t>
      </w:r>
      <w:r>
        <w:rPr>
          <w:szCs w:val="26"/>
          <w:lang w:val="vi-VN"/>
        </w:rPr>
        <w:t xml:space="preserve"> viên</w:t>
      </w:r>
      <w:r>
        <w:rPr>
          <w:szCs w:val="26"/>
        </w:rPr>
        <w:t xml:space="preserve"> đi học theo kết quả đăng ký học đã được P.ĐT thông báo</w:t>
      </w:r>
      <w:r>
        <w:rPr>
          <w:szCs w:val="26"/>
          <w:lang w:val="vi-VN"/>
        </w:rPr>
        <w:t xml:space="preserve">. Trong hai tuần đầu học kỳ, </w:t>
      </w:r>
      <w:r>
        <w:rPr>
          <w:szCs w:val="26"/>
        </w:rPr>
        <w:t>nếu có phát sinh gì SV nộp đơn điều chỉnh đăng ký học tại P.ĐT (P.105-E3)</w:t>
      </w:r>
      <w:r>
        <w:rPr>
          <w:szCs w:val="26"/>
          <w:lang w:val="vi-VN"/>
        </w:rPr>
        <w:t xml:space="preserve"> hoặc qua email </w:t>
      </w:r>
      <w:r>
        <w:fldChar w:fldCharType="begin"/>
      </w:r>
      <w:r>
        <w:instrText xml:space="preserve"> HYPERLINK "mailto:daotao_dhcn@vnu.edu.vn" </w:instrText>
      </w:r>
      <w:r>
        <w:fldChar w:fldCharType="separate"/>
      </w:r>
      <w:r>
        <w:rPr>
          <w:rStyle w:val="23"/>
          <w:szCs w:val="26"/>
          <w:lang w:val="vi-VN"/>
        </w:rPr>
        <w:t>daotao_dhcn@vnu.edu.vn</w:t>
      </w:r>
      <w:r>
        <w:rPr>
          <w:rStyle w:val="23"/>
          <w:szCs w:val="26"/>
          <w:lang w:val="vi-VN"/>
        </w:rPr>
        <w:fldChar w:fldCharType="end"/>
      </w:r>
      <w:r>
        <w:rPr>
          <w:szCs w:val="26"/>
          <w:lang w:val="vi-VN"/>
        </w:rPr>
        <w:t xml:space="preserve"> (lưu ý sinh viên bắt buộc dùng email cá nhân do Nhà trường cung cấp)</w:t>
      </w:r>
      <w:r>
        <w:rPr>
          <w:szCs w:val="26"/>
        </w:rPr>
        <w:t xml:space="preserve"> để được xem xét giải quyết./.</w:t>
      </w:r>
    </w:p>
    <w:p>
      <w:pPr>
        <w:ind w:firstLine="720"/>
        <w:jc w:val="both"/>
        <w:rPr>
          <w:b/>
          <w:szCs w:val="26"/>
          <w:lang w:val="vi-VN"/>
        </w:rPr>
      </w:pPr>
      <w:r>
        <w:rPr>
          <w:b/>
          <w:szCs w:val="26"/>
        </w:rPr>
        <w:t>Khi gặp khó khăn về đăng ký học sinh viên có thể liên hệ trực tiếp với Phòng Đào tạo theo số ĐT: 024.3754786</w:t>
      </w:r>
      <w:r>
        <w:rPr>
          <w:b/>
          <w:szCs w:val="26"/>
          <w:lang w:val="vi-VN"/>
        </w:rPr>
        <w:t>5</w:t>
      </w:r>
    </w:p>
    <w:p>
      <w:pPr>
        <w:pStyle w:val="3"/>
        <w:numPr>
          <w:ilvl w:val="0"/>
          <w:numId w:val="2"/>
        </w:numPr>
      </w:pPr>
      <w:bookmarkStart w:id="11" w:name="_heading=h.1t3h5sf" w:colFirst="0" w:colLast="0"/>
      <w:bookmarkEnd w:id="11"/>
      <w:bookmarkStart w:id="12" w:name="_Toc79856884"/>
      <w:r>
        <w:t>Một số lưu ý khi đăng ký học</w:t>
      </w:r>
      <w:bookmarkEnd w:id="12"/>
    </w:p>
    <w:p>
      <w:pPr>
        <w:ind w:firstLine="720"/>
        <w:jc w:val="both"/>
        <w:rPr>
          <w:szCs w:val="26"/>
        </w:rPr>
      </w:pPr>
      <w:r>
        <w:rPr>
          <w:szCs w:val="26"/>
        </w:rPr>
        <w:t>- Thời gian của khóa học đào tạo chính quy theo chương trình đào tạo chuẩn, chất lượng cao tương ứng là 8 học kỳ chính đối với đào tạo cử nhân, 9 học kỳ chính đối với đào tạo kỹ sư. Thời gian được phép tạm ngừng học để củng cố kiến thức, cải thiện kết quả học tập là 4 học kỳ chính, do đó sinh viên cần phải tính toán, lập kế hoạch để hoàn thiện được chương trình đào tạo trong thời gian của khóa học.</w:t>
      </w:r>
    </w:p>
    <w:p>
      <w:pPr>
        <w:ind w:firstLine="720"/>
        <w:jc w:val="both"/>
        <w:rPr>
          <w:szCs w:val="26"/>
        </w:rPr>
      </w:pPr>
      <w:r>
        <w:rPr>
          <w:szCs w:val="26"/>
        </w:rPr>
        <w:t>- Trước khi đăng ký học phần chính thức, sinh viên cần kiểm tra thật cẩn thận các thông tin sau:</w:t>
      </w:r>
    </w:p>
    <w:p>
      <w:pPr>
        <w:numPr>
          <w:ilvl w:val="0"/>
          <w:numId w:val="3"/>
        </w:numPr>
        <w:spacing w:after="120"/>
        <w:jc w:val="both"/>
        <w:rPr>
          <w:szCs w:val="26"/>
        </w:rPr>
      </w:pPr>
      <w:r>
        <w:rPr>
          <w:szCs w:val="26"/>
        </w:rPr>
        <w:t>Ngày giờ đăng ký và thời hạn chót để đăng ký;</w:t>
      </w:r>
    </w:p>
    <w:p>
      <w:pPr>
        <w:numPr>
          <w:ilvl w:val="0"/>
          <w:numId w:val="3"/>
        </w:numPr>
        <w:spacing w:after="120"/>
        <w:jc w:val="both"/>
        <w:rPr>
          <w:szCs w:val="26"/>
        </w:rPr>
      </w:pPr>
      <w:r>
        <w:rPr>
          <w:szCs w:val="26"/>
        </w:rPr>
        <w:t>Tên và mã số học phần, lớp học phần;</w:t>
      </w:r>
    </w:p>
    <w:p>
      <w:pPr>
        <w:numPr>
          <w:ilvl w:val="0"/>
          <w:numId w:val="3"/>
        </w:numPr>
        <w:spacing w:after="120"/>
        <w:jc w:val="both"/>
        <w:rPr>
          <w:szCs w:val="26"/>
        </w:rPr>
      </w:pPr>
      <w:r>
        <w:rPr>
          <w:szCs w:val="26"/>
        </w:rPr>
        <w:t>Điều kiện tiên quyết của học phần có được bảo đảm hay không.</w:t>
      </w:r>
    </w:p>
    <w:p>
      <w:pPr>
        <w:numPr>
          <w:ilvl w:val="0"/>
          <w:numId w:val="3"/>
        </w:numPr>
        <w:spacing w:after="120"/>
        <w:jc w:val="both"/>
        <w:rPr>
          <w:szCs w:val="26"/>
        </w:rPr>
      </w:pPr>
      <w:r>
        <w:rPr>
          <w:szCs w:val="26"/>
        </w:rPr>
        <w:t>Các lớp học phần có bị trùng lặp về thời gian học không.</w:t>
      </w:r>
    </w:p>
    <w:p>
      <w:pPr>
        <w:numPr>
          <w:ilvl w:val="0"/>
          <w:numId w:val="3"/>
        </w:numPr>
        <w:spacing w:after="120"/>
        <w:jc w:val="both"/>
        <w:rPr>
          <w:szCs w:val="26"/>
        </w:rPr>
      </w:pPr>
      <w:r>
        <w:rPr>
          <w:szCs w:val="26"/>
        </w:rPr>
        <w:t>Có bảo đảm khối lượng học tập tối thiểu (hoặc tối đa) hay không.</w:t>
      </w:r>
    </w:p>
    <w:p>
      <w:pPr>
        <w:ind w:firstLine="720"/>
        <w:jc w:val="both"/>
        <w:rPr>
          <w:szCs w:val="26"/>
        </w:rPr>
      </w:pPr>
      <w:r>
        <w:rPr>
          <w:szCs w:val="26"/>
        </w:rPr>
        <w:t xml:space="preserve">- Trong 2 tuần đầu của học kỳ chính, sinh viên được phép đăng ký những học phần muốn học thêm hoặc đăng ký đổi sang lớp học phần khác. </w:t>
      </w:r>
    </w:p>
    <w:p>
      <w:pPr>
        <w:ind w:firstLine="720"/>
        <w:jc w:val="both"/>
        <w:rPr>
          <w:szCs w:val="26"/>
        </w:rPr>
      </w:pPr>
      <w:r>
        <w:rPr>
          <w:szCs w:val="26"/>
        </w:rPr>
        <w:t xml:space="preserve">Ngoài thời hạn trên, học phần vẫn được giữ nguyên, nếu sinh viên không học sẽ phải nhận điểm F và không được trả lại học phí. </w:t>
      </w:r>
    </w:p>
    <w:p>
      <w:pPr>
        <w:ind w:firstLine="720"/>
        <w:jc w:val="both"/>
        <w:rPr>
          <w:szCs w:val="26"/>
        </w:rPr>
      </w:pPr>
      <w:r>
        <w:rPr>
          <w:szCs w:val="26"/>
        </w:rPr>
        <w:t xml:space="preserve">- Phần giảng dạy lý thuyết được tổ chức tại giảng đường, phòng học theo công bố trên Thời khóa biểu. Mỗi lớp từ 20 đến </w:t>
      </w:r>
      <w:r>
        <w:rPr>
          <w:szCs w:val="26"/>
          <w:lang w:val="vi-VN"/>
        </w:rPr>
        <w:t>300</w:t>
      </w:r>
      <w:r>
        <w:rPr>
          <w:szCs w:val="26"/>
        </w:rPr>
        <w:t xml:space="preserve"> sinh viên. Các nhóm bài tập/thực hành/thực tập mỗi nhóm từ 20 đến 40 sinh viên. Nếu vì lý do khách quan như sĩ số sinh viên các chuyên ngành ít, do chương trình đào tạo cập nhật thay đổi…. không thể thực hiện theo đúng quy định này, Phòng Đào tạo phải báo cáo Hiệu trưởng đối với từng trường hợp cụ thể để xem xét giải quyết. Trường hợp các lớp học phần không đủ sĩ số sinh viên để mở lớp, Phòng đào tạo sẽ ra thông báo hủy học phần của những sinh viên đã đăng ký. Sinh viên có trách nhiệm liên hệ với Phòng Đào tạo để đăng ký lại học phần theo thời gian Phòng Đào tạo quy định trong thông báo.</w:t>
      </w:r>
    </w:p>
    <w:p>
      <w:pPr>
        <w:ind w:firstLine="720"/>
        <w:jc w:val="both"/>
        <w:rPr>
          <w:szCs w:val="26"/>
        </w:rPr>
      </w:pPr>
      <w:r>
        <w:rPr>
          <w:szCs w:val="26"/>
        </w:rPr>
        <w:t>- Đối với môn Giáo dục thể chất: sinh viên phải học đủ 4 tín chỉ bố trí đều thành 4 học phần và mỗi SV chỉ được đăng ký học một học phần trong một học kỳ. Nếu cố tình đăng ký 2 học phần sẽ bị hủy 01 học phần và không công nhận kết quả học tập của học phần thứ hai.</w:t>
      </w:r>
    </w:p>
    <w:p>
      <w:pPr>
        <w:ind w:firstLine="720"/>
        <w:jc w:val="both"/>
        <w:rPr>
          <w:szCs w:val="26"/>
        </w:rPr>
      </w:pPr>
      <w:r>
        <w:rPr>
          <w:szCs w:val="26"/>
        </w:rPr>
        <w:t xml:space="preserve">Địa điểm học: Sân vận động đa năng đại học Ngoại ngữ - ĐHQG Hà Nội. </w:t>
      </w:r>
    </w:p>
    <w:p>
      <w:pPr>
        <w:rPr>
          <w:szCs w:val="26"/>
        </w:rPr>
      </w:pPr>
      <w:r>
        <w:rPr>
          <w:szCs w:val="26"/>
        </w:rPr>
        <w:br w:type="page"/>
      </w:r>
    </w:p>
    <w:p>
      <w:pPr>
        <w:pStyle w:val="2"/>
        <w:spacing w:after="360"/>
        <w:jc w:val="center"/>
      </w:pPr>
      <w:bookmarkStart w:id="13" w:name="_Toc79856885"/>
      <w:r>
        <w:t>THỜI GIAN HỌC TẬP VÀ GIẢNG DẠY</w:t>
      </w:r>
      <w:bookmarkEnd w:id="13"/>
    </w:p>
    <w:tbl>
      <w:tblPr>
        <w:tblStyle w:val="12"/>
        <w:tblW w:w="10343"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04"/>
        <w:gridCol w:w="1845"/>
        <w:gridCol w:w="848"/>
        <w:gridCol w:w="709"/>
        <w:gridCol w:w="1843"/>
        <w:gridCol w:w="850"/>
        <w:gridCol w:w="709"/>
        <w:gridCol w:w="1843"/>
        <w:gridCol w:w="9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3397" w:type="dxa"/>
            <w:gridSpan w:val="3"/>
            <w:vAlign w:val="center"/>
          </w:tcPr>
          <w:p>
            <w:pPr>
              <w:spacing w:before="40" w:after="40"/>
              <w:jc w:val="center"/>
              <w:rPr>
                <w:b/>
              </w:rPr>
            </w:pPr>
            <w:r>
              <w:rPr>
                <w:b/>
              </w:rPr>
              <w:t>SÁNG</w:t>
            </w:r>
          </w:p>
        </w:tc>
        <w:tc>
          <w:tcPr>
            <w:tcW w:w="3402" w:type="dxa"/>
            <w:gridSpan w:val="3"/>
            <w:vAlign w:val="center"/>
          </w:tcPr>
          <w:p>
            <w:pPr>
              <w:spacing w:before="40" w:after="40"/>
              <w:jc w:val="center"/>
              <w:rPr>
                <w:b/>
              </w:rPr>
            </w:pPr>
            <w:r>
              <w:rPr>
                <w:b/>
              </w:rPr>
              <w:t>CHIỀU</w:t>
            </w:r>
          </w:p>
        </w:tc>
        <w:tc>
          <w:tcPr>
            <w:tcW w:w="3544" w:type="dxa"/>
            <w:gridSpan w:val="3"/>
            <w:vAlign w:val="center"/>
          </w:tcPr>
          <w:p>
            <w:pPr>
              <w:spacing w:before="40" w:after="40"/>
              <w:jc w:val="center"/>
              <w:rPr>
                <w:b/>
              </w:rPr>
            </w:pPr>
            <w:r>
              <w:rPr>
                <w:b/>
              </w:rPr>
              <w:t>TỐI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04" w:type="dxa"/>
            <w:vAlign w:val="center"/>
          </w:tcPr>
          <w:p>
            <w:pPr>
              <w:spacing w:before="40" w:after="40"/>
              <w:jc w:val="center"/>
              <w:rPr>
                <w:b/>
              </w:rPr>
            </w:pPr>
            <w:r>
              <w:rPr>
                <w:b/>
              </w:rPr>
              <w:t>Tiết</w:t>
            </w:r>
          </w:p>
        </w:tc>
        <w:tc>
          <w:tcPr>
            <w:tcW w:w="1845" w:type="dxa"/>
            <w:vAlign w:val="center"/>
          </w:tcPr>
          <w:p>
            <w:pPr>
              <w:spacing w:before="40" w:after="40"/>
              <w:jc w:val="center"/>
              <w:rPr>
                <w:b/>
              </w:rPr>
            </w:pPr>
            <w:r>
              <w:rPr>
                <w:b/>
              </w:rPr>
              <w:t>Thời gian học</w:t>
            </w:r>
          </w:p>
        </w:tc>
        <w:tc>
          <w:tcPr>
            <w:tcW w:w="848" w:type="dxa"/>
            <w:vAlign w:val="center"/>
          </w:tcPr>
          <w:p>
            <w:pPr>
              <w:spacing w:before="40" w:after="40"/>
              <w:jc w:val="center"/>
              <w:rPr>
                <w:b/>
              </w:rPr>
            </w:pPr>
            <w:r>
              <w:rPr>
                <w:b/>
              </w:rPr>
              <w:t>Nghỉ</w:t>
            </w:r>
          </w:p>
        </w:tc>
        <w:tc>
          <w:tcPr>
            <w:tcW w:w="709" w:type="dxa"/>
            <w:vAlign w:val="center"/>
          </w:tcPr>
          <w:p>
            <w:pPr>
              <w:spacing w:before="40" w:after="40"/>
              <w:jc w:val="center"/>
              <w:rPr>
                <w:b/>
              </w:rPr>
            </w:pPr>
            <w:r>
              <w:rPr>
                <w:b/>
              </w:rPr>
              <w:t>Tiết</w:t>
            </w:r>
          </w:p>
        </w:tc>
        <w:tc>
          <w:tcPr>
            <w:tcW w:w="1843" w:type="dxa"/>
            <w:vAlign w:val="center"/>
          </w:tcPr>
          <w:p>
            <w:pPr>
              <w:spacing w:before="40" w:after="40"/>
              <w:jc w:val="center"/>
              <w:rPr>
                <w:b/>
              </w:rPr>
            </w:pPr>
            <w:r>
              <w:rPr>
                <w:b/>
              </w:rPr>
              <w:t>Thời gian học</w:t>
            </w:r>
          </w:p>
        </w:tc>
        <w:tc>
          <w:tcPr>
            <w:tcW w:w="850" w:type="dxa"/>
            <w:vAlign w:val="center"/>
          </w:tcPr>
          <w:p>
            <w:pPr>
              <w:spacing w:before="40" w:after="40"/>
              <w:jc w:val="center"/>
              <w:rPr>
                <w:b/>
              </w:rPr>
            </w:pPr>
            <w:r>
              <w:rPr>
                <w:b/>
              </w:rPr>
              <w:t>Nghỉ</w:t>
            </w:r>
          </w:p>
        </w:tc>
        <w:tc>
          <w:tcPr>
            <w:tcW w:w="709" w:type="dxa"/>
            <w:vAlign w:val="center"/>
          </w:tcPr>
          <w:p>
            <w:pPr>
              <w:spacing w:before="40" w:after="40"/>
              <w:jc w:val="center"/>
              <w:rPr>
                <w:b/>
              </w:rPr>
            </w:pPr>
            <w:r>
              <w:rPr>
                <w:b/>
              </w:rPr>
              <w:t>Tiết</w:t>
            </w:r>
          </w:p>
        </w:tc>
        <w:tc>
          <w:tcPr>
            <w:tcW w:w="1843" w:type="dxa"/>
            <w:vAlign w:val="center"/>
          </w:tcPr>
          <w:p>
            <w:pPr>
              <w:spacing w:before="40" w:after="40"/>
              <w:jc w:val="center"/>
              <w:rPr>
                <w:b/>
              </w:rPr>
            </w:pPr>
            <w:r>
              <w:rPr>
                <w:b/>
              </w:rPr>
              <w:t>Thời gian học</w:t>
            </w:r>
          </w:p>
        </w:tc>
        <w:tc>
          <w:tcPr>
            <w:tcW w:w="992" w:type="dxa"/>
            <w:vAlign w:val="center"/>
          </w:tcPr>
          <w:p>
            <w:pPr>
              <w:spacing w:before="40" w:after="40"/>
              <w:jc w:val="center"/>
              <w:rPr>
                <w:b/>
              </w:rPr>
            </w:pPr>
            <w:r>
              <w:rPr>
                <w:b/>
              </w:rPr>
              <w:t>Nghỉ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04" w:type="dxa"/>
            <w:vAlign w:val="center"/>
          </w:tcPr>
          <w:p>
            <w:pPr>
              <w:spacing w:before="40" w:after="40"/>
              <w:jc w:val="center"/>
            </w:pPr>
            <w:r>
              <w:t>1</w:t>
            </w:r>
          </w:p>
        </w:tc>
        <w:tc>
          <w:tcPr>
            <w:tcW w:w="1845" w:type="dxa"/>
            <w:shd w:val="clear" w:color="auto" w:fill="auto"/>
            <w:vAlign w:val="center"/>
          </w:tcPr>
          <w:p>
            <w:pPr>
              <w:spacing w:before="40" w:after="40"/>
              <w:jc w:val="center"/>
            </w:pPr>
            <w:r>
              <w:t>07h00’ ÷ 07h50’</w:t>
            </w:r>
          </w:p>
        </w:tc>
        <w:tc>
          <w:tcPr>
            <w:tcW w:w="848" w:type="dxa"/>
            <w:shd w:val="clear" w:color="auto" w:fill="auto"/>
            <w:vAlign w:val="center"/>
          </w:tcPr>
          <w:p>
            <w:pPr>
              <w:spacing w:before="40" w:after="40"/>
              <w:jc w:val="center"/>
            </w:pPr>
            <w:r>
              <w:t>10’</w:t>
            </w:r>
          </w:p>
        </w:tc>
        <w:tc>
          <w:tcPr>
            <w:tcW w:w="709" w:type="dxa"/>
            <w:vAlign w:val="center"/>
          </w:tcPr>
          <w:p>
            <w:pPr>
              <w:spacing w:before="40" w:after="40"/>
              <w:jc w:val="center"/>
            </w:pPr>
            <w:r>
              <w:t>7</w:t>
            </w:r>
          </w:p>
        </w:tc>
        <w:tc>
          <w:tcPr>
            <w:tcW w:w="1843" w:type="dxa"/>
            <w:shd w:val="clear" w:color="auto" w:fill="auto"/>
            <w:vAlign w:val="center"/>
          </w:tcPr>
          <w:p>
            <w:pPr>
              <w:spacing w:before="40" w:after="40"/>
              <w:jc w:val="center"/>
            </w:pPr>
            <w:r>
              <w:t>13h00’ ÷ 13h50’</w:t>
            </w:r>
          </w:p>
        </w:tc>
        <w:tc>
          <w:tcPr>
            <w:tcW w:w="850" w:type="dxa"/>
            <w:shd w:val="clear" w:color="auto" w:fill="auto"/>
            <w:vAlign w:val="center"/>
          </w:tcPr>
          <w:p>
            <w:pPr>
              <w:spacing w:before="40" w:after="40"/>
              <w:jc w:val="center"/>
            </w:pPr>
            <w:r>
              <w:t>10’</w:t>
            </w:r>
          </w:p>
        </w:tc>
        <w:tc>
          <w:tcPr>
            <w:tcW w:w="709" w:type="dxa"/>
            <w:vAlign w:val="center"/>
          </w:tcPr>
          <w:p>
            <w:pPr>
              <w:spacing w:before="40" w:after="40"/>
              <w:jc w:val="center"/>
            </w:pPr>
            <w:r>
              <w:t>13</w:t>
            </w:r>
          </w:p>
        </w:tc>
        <w:tc>
          <w:tcPr>
            <w:tcW w:w="1843" w:type="dxa"/>
            <w:vAlign w:val="center"/>
          </w:tcPr>
          <w:p>
            <w:pPr>
              <w:spacing w:before="40" w:after="40"/>
              <w:jc w:val="center"/>
            </w:pPr>
            <w:r>
              <w:t>19h00’ ÷ 19h50’</w:t>
            </w:r>
          </w:p>
        </w:tc>
        <w:tc>
          <w:tcPr>
            <w:tcW w:w="992" w:type="dxa"/>
            <w:vAlign w:val="center"/>
          </w:tcPr>
          <w:p>
            <w:pPr>
              <w:spacing w:before="40" w:after="40"/>
              <w:jc w:val="center"/>
            </w:pPr>
            <w: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04" w:type="dxa"/>
            <w:vAlign w:val="center"/>
          </w:tcPr>
          <w:p>
            <w:pPr>
              <w:spacing w:before="40" w:after="40"/>
              <w:jc w:val="center"/>
            </w:pPr>
            <w:r>
              <w:t>2</w:t>
            </w:r>
          </w:p>
        </w:tc>
        <w:tc>
          <w:tcPr>
            <w:tcW w:w="1845" w:type="dxa"/>
            <w:shd w:val="clear" w:color="auto" w:fill="auto"/>
            <w:vAlign w:val="center"/>
          </w:tcPr>
          <w:p>
            <w:pPr>
              <w:spacing w:before="40" w:after="40"/>
              <w:jc w:val="center"/>
            </w:pPr>
            <w:r>
              <w:t>08h00’ ÷ 08h50’</w:t>
            </w:r>
          </w:p>
        </w:tc>
        <w:tc>
          <w:tcPr>
            <w:tcW w:w="848" w:type="dxa"/>
            <w:shd w:val="clear" w:color="auto" w:fill="auto"/>
            <w:vAlign w:val="center"/>
          </w:tcPr>
          <w:p>
            <w:pPr>
              <w:spacing w:before="40" w:after="40"/>
              <w:jc w:val="center"/>
            </w:pPr>
            <w:r>
              <w:t>10’</w:t>
            </w:r>
          </w:p>
        </w:tc>
        <w:tc>
          <w:tcPr>
            <w:tcW w:w="709" w:type="dxa"/>
            <w:vAlign w:val="center"/>
          </w:tcPr>
          <w:p>
            <w:pPr>
              <w:spacing w:before="40" w:after="40"/>
              <w:jc w:val="center"/>
            </w:pPr>
            <w:r>
              <w:t>8</w:t>
            </w:r>
          </w:p>
        </w:tc>
        <w:tc>
          <w:tcPr>
            <w:tcW w:w="1843" w:type="dxa"/>
            <w:shd w:val="clear" w:color="auto" w:fill="auto"/>
            <w:vAlign w:val="center"/>
          </w:tcPr>
          <w:p>
            <w:pPr>
              <w:spacing w:before="40" w:after="40"/>
              <w:jc w:val="center"/>
            </w:pPr>
            <w:r>
              <w:t>14h00’ ÷ 14h50’</w:t>
            </w:r>
          </w:p>
        </w:tc>
        <w:tc>
          <w:tcPr>
            <w:tcW w:w="850" w:type="dxa"/>
            <w:shd w:val="clear" w:color="auto" w:fill="auto"/>
            <w:vAlign w:val="center"/>
          </w:tcPr>
          <w:p>
            <w:pPr>
              <w:spacing w:before="40" w:after="40"/>
              <w:jc w:val="center"/>
            </w:pPr>
            <w:r>
              <w:t>10’</w:t>
            </w:r>
          </w:p>
        </w:tc>
        <w:tc>
          <w:tcPr>
            <w:tcW w:w="709" w:type="dxa"/>
            <w:vAlign w:val="center"/>
          </w:tcPr>
          <w:p>
            <w:pPr>
              <w:spacing w:before="40" w:after="40"/>
              <w:jc w:val="center"/>
            </w:pPr>
            <w:r>
              <w:t>14</w:t>
            </w:r>
          </w:p>
        </w:tc>
        <w:tc>
          <w:tcPr>
            <w:tcW w:w="1843" w:type="dxa"/>
            <w:vAlign w:val="center"/>
          </w:tcPr>
          <w:p>
            <w:pPr>
              <w:spacing w:before="40" w:after="40"/>
              <w:jc w:val="center"/>
            </w:pPr>
            <w:r>
              <w:t>20h00’ ÷ 20h50’</w:t>
            </w:r>
          </w:p>
        </w:tc>
        <w:tc>
          <w:tcPr>
            <w:tcW w:w="992" w:type="dxa"/>
            <w:vAlign w:val="center"/>
          </w:tcPr>
          <w:p>
            <w:pPr>
              <w:spacing w:before="40" w:after="40"/>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04" w:type="dxa"/>
            <w:vAlign w:val="center"/>
          </w:tcPr>
          <w:p>
            <w:pPr>
              <w:spacing w:before="40" w:after="40"/>
              <w:jc w:val="center"/>
            </w:pPr>
            <w:r>
              <w:t>3</w:t>
            </w:r>
          </w:p>
        </w:tc>
        <w:tc>
          <w:tcPr>
            <w:tcW w:w="1845" w:type="dxa"/>
            <w:shd w:val="clear" w:color="auto" w:fill="auto"/>
            <w:vAlign w:val="center"/>
          </w:tcPr>
          <w:p>
            <w:pPr>
              <w:spacing w:before="40" w:after="40"/>
              <w:jc w:val="center"/>
            </w:pPr>
            <w:r>
              <w:t>09h00’ ÷ 09h50’</w:t>
            </w:r>
          </w:p>
        </w:tc>
        <w:tc>
          <w:tcPr>
            <w:tcW w:w="848" w:type="dxa"/>
            <w:shd w:val="clear" w:color="auto" w:fill="auto"/>
            <w:vAlign w:val="center"/>
          </w:tcPr>
          <w:p>
            <w:pPr>
              <w:spacing w:before="40" w:after="40"/>
              <w:jc w:val="center"/>
            </w:pPr>
            <w:r>
              <w:t>10’</w:t>
            </w:r>
          </w:p>
        </w:tc>
        <w:tc>
          <w:tcPr>
            <w:tcW w:w="709" w:type="dxa"/>
            <w:vAlign w:val="center"/>
          </w:tcPr>
          <w:p>
            <w:pPr>
              <w:spacing w:before="40" w:after="40"/>
              <w:jc w:val="center"/>
            </w:pPr>
            <w:r>
              <w:t>9</w:t>
            </w:r>
          </w:p>
        </w:tc>
        <w:tc>
          <w:tcPr>
            <w:tcW w:w="1843" w:type="dxa"/>
            <w:shd w:val="clear" w:color="auto" w:fill="auto"/>
            <w:vAlign w:val="center"/>
          </w:tcPr>
          <w:p>
            <w:pPr>
              <w:spacing w:before="40" w:after="40"/>
              <w:jc w:val="center"/>
            </w:pPr>
            <w:r>
              <w:t>15h00’ ÷ 15h50’</w:t>
            </w:r>
          </w:p>
        </w:tc>
        <w:tc>
          <w:tcPr>
            <w:tcW w:w="850" w:type="dxa"/>
            <w:shd w:val="clear" w:color="auto" w:fill="auto"/>
            <w:vAlign w:val="center"/>
          </w:tcPr>
          <w:p>
            <w:pPr>
              <w:spacing w:before="40" w:after="40"/>
              <w:jc w:val="center"/>
            </w:pPr>
            <w:r>
              <w:t>10’</w:t>
            </w:r>
          </w:p>
        </w:tc>
        <w:tc>
          <w:tcPr>
            <w:tcW w:w="709" w:type="dxa"/>
            <w:vAlign w:val="center"/>
          </w:tcPr>
          <w:p>
            <w:pPr>
              <w:spacing w:before="40" w:after="40"/>
              <w:jc w:val="center"/>
            </w:pPr>
          </w:p>
        </w:tc>
        <w:tc>
          <w:tcPr>
            <w:tcW w:w="1843" w:type="dxa"/>
            <w:vAlign w:val="center"/>
          </w:tcPr>
          <w:p>
            <w:pPr>
              <w:spacing w:before="40" w:after="40"/>
              <w:jc w:val="center"/>
            </w:pPr>
          </w:p>
        </w:tc>
        <w:tc>
          <w:tcPr>
            <w:tcW w:w="992" w:type="dxa"/>
            <w:vAlign w:val="center"/>
          </w:tcPr>
          <w:p>
            <w:pPr>
              <w:spacing w:before="40" w:after="40"/>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04" w:type="dxa"/>
            <w:vAlign w:val="center"/>
          </w:tcPr>
          <w:p>
            <w:pPr>
              <w:spacing w:before="40" w:after="40"/>
              <w:jc w:val="center"/>
            </w:pPr>
            <w:r>
              <w:t>4</w:t>
            </w:r>
          </w:p>
        </w:tc>
        <w:tc>
          <w:tcPr>
            <w:tcW w:w="1845" w:type="dxa"/>
            <w:shd w:val="clear" w:color="auto" w:fill="auto"/>
            <w:vAlign w:val="center"/>
          </w:tcPr>
          <w:p>
            <w:pPr>
              <w:spacing w:before="40" w:after="40"/>
              <w:jc w:val="center"/>
            </w:pPr>
            <w:r>
              <w:t>10h00’ ÷ 10h50’</w:t>
            </w:r>
          </w:p>
        </w:tc>
        <w:tc>
          <w:tcPr>
            <w:tcW w:w="848" w:type="dxa"/>
            <w:shd w:val="clear" w:color="auto" w:fill="auto"/>
            <w:vAlign w:val="center"/>
          </w:tcPr>
          <w:p>
            <w:pPr>
              <w:spacing w:before="40" w:after="40"/>
              <w:jc w:val="center"/>
            </w:pPr>
            <w:r>
              <w:t>10’</w:t>
            </w:r>
          </w:p>
        </w:tc>
        <w:tc>
          <w:tcPr>
            <w:tcW w:w="709" w:type="dxa"/>
            <w:vAlign w:val="center"/>
          </w:tcPr>
          <w:p>
            <w:pPr>
              <w:spacing w:before="40" w:after="40"/>
              <w:jc w:val="center"/>
            </w:pPr>
            <w:r>
              <w:t>10</w:t>
            </w:r>
          </w:p>
        </w:tc>
        <w:tc>
          <w:tcPr>
            <w:tcW w:w="1843" w:type="dxa"/>
            <w:shd w:val="clear" w:color="auto" w:fill="auto"/>
            <w:vAlign w:val="center"/>
          </w:tcPr>
          <w:p>
            <w:pPr>
              <w:spacing w:before="40" w:after="40"/>
              <w:jc w:val="center"/>
            </w:pPr>
            <w:r>
              <w:t>16h00’ ÷ 16h50’</w:t>
            </w:r>
          </w:p>
        </w:tc>
        <w:tc>
          <w:tcPr>
            <w:tcW w:w="850" w:type="dxa"/>
            <w:shd w:val="clear" w:color="auto" w:fill="auto"/>
            <w:vAlign w:val="center"/>
          </w:tcPr>
          <w:p>
            <w:pPr>
              <w:spacing w:before="40" w:after="40"/>
              <w:jc w:val="center"/>
            </w:pPr>
            <w:r>
              <w:t>10’</w:t>
            </w:r>
          </w:p>
        </w:tc>
        <w:tc>
          <w:tcPr>
            <w:tcW w:w="709" w:type="dxa"/>
            <w:vAlign w:val="center"/>
          </w:tcPr>
          <w:p>
            <w:pPr>
              <w:spacing w:before="40" w:after="40"/>
              <w:jc w:val="center"/>
            </w:pPr>
          </w:p>
        </w:tc>
        <w:tc>
          <w:tcPr>
            <w:tcW w:w="1843" w:type="dxa"/>
            <w:vAlign w:val="center"/>
          </w:tcPr>
          <w:p>
            <w:pPr>
              <w:spacing w:before="40" w:after="40"/>
              <w:jc w:val="center"/>
            </w:pPr>
          </w:p>
        </w:tc>
        <w:tc>
          <w:tcPr>
            <w:tcW w:w="992" w:type="dxa"/>
            <w:vAlign w:val="center"/>
          </w:tcPr>
          <w:p>
            <w:pPr>
              <w:spacing w:before="40" w:after="40"/>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04" w:type="dxa"/>
            <w:vAlign w:val="center"/>
          </w:tcPr>
          <w:p>
            <w:pPr>
              <w:spacing w:before="40" w:after="40"/>
              <w:jc w:val="center"/>
            </w:pPr>
            <w:r>
              <w:t>5</w:t>
            </w:r>
          </w:p>
        </w:tc>
        <w:tc>
          <w:tcPr>
            <w:tcW w:w="1845" w:type="dxa"/>
            <w:shd w:val="clear" w:color="auto" w:fill="auto"/>
            <w:vAlign w:val="center"/>
          </w:tcPr>
          <w:p>
            <w:pPr>
              <w:spacing w:before="40" w:after="40"/>
              <w:jc w:val="center"/>
            </w:pPr>
            <w:r>
              <w:t>11h00’ ÷ 11h50’</w:t>
            </w:r>
          </w:p>
        </w:tc>
        <w:tc>
          <w:tcPr>
            <w:tcW w:w="848" w:type="dxa"/>
            <w:shd w:val="clear" w:color="auto" w:fill="auto"/>
            <w:vAlign w:val="center"/>
          </w:tcPr>
          <w:p>
            <w:pPr>
              <w:spacing w:before="40" w:after="40"/>
              <w:jc w:val="center"/>
            </w:pPr>
            <w:r>
              <w:t>10’</w:t>
            </w:r>
          </w:p>
        </w:tc>
        <w:tc>
          <w:tcPr>
            <w:tcW w:w="709" w:type="dxa"/>
            <w:vAlign w:val="center"/>
          </w:tcPr>
          <w:p>
            <w:pPr>
              <w:spacing w:before="40" w:after="40"/>
              <w:jc w:val="center"/>
            </w:pPr>
            <w:r>
              <w:t>11</w:t>
            </w:r>
          </w:p>
        </w:tc>
        <w:tc>
          <w:tcPr>
            <w:tcW w:w="1843" w:type="dxa"/>
            <w:shd w:val="clear" w:color="auto" w:fill="auto"/>
            <w:vAlign w:val="center"/>
          </w:tcPr>
          <w:p>
            <w:pPr>
              <w:spacing w:before="40" w:after="40"/>
              <w:jc w:val="center"/>
            </w:pPr>
            <w:r>
              <w:t>17h00’ ÷ 17h50’</w:t>
            </w:r>
          </w:p>
        </w:tc>
        <w:tc>
          <w:tcPr>
            <w:tcW w:w="850" w:type="dxa"/>
            <w:shd w:val="clear" w:color="auto" w:fill="auto"/>
            <w:vAlign w:val="center"/>
          </w:tcPr>
          <w:p>
            <w:pPr>
              <w:spacing w:before="40" w:after="40"/>
              <w:jc w:val="center"/>
            </w:pPr>
            <w:r>
              <w:t>10’</w:t>
            </w:r>
          </w:p>
        </w:tc>
        <w:tc>
          <w:tcPr>
            <w:tcW w:w="709" w:type="dxa"/>
            <w:vAlign w:val="center"/>
          </w:tcPr>
          <w:p>
            <w:pPr>
              <w:spacing w:before="40" w:after="40"/>
              <w:jc w:val="center"/>
            </w:pPr>
          </w:p>
        </w:tc>
        <w:tc>
          <w:tcPr>
            <w:tcW w:w="1843" w:type="dxa"/>
            <w:vAlign w:val="center"/>
          </w:tcPr>
          <w:p>
            <w:pPr>
              <w:spacing w:before="40" w:after="40"/>
              <w:jc w:val="center"/>
            </w:pPr>
          </w:p>
        </w:tc>
        <w:tc>
          <w:tcPr>
            <w:tcW w:w="992" w:type="dxa"/>
            <w:vAlign w:val="center"/>
          </w:tcPr>
          <w:p>
            <w:pPr>
              <w:spacing w:before="40" w:after="40"/>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04" w:type="dxa"/>
            <w:vAlign w:val="center"/>
          </w:tcPr>
          <w:p>
            <w:pPr>
              <w:spacing w:before="40" w:after="40"/>
              <w:jc w:val="center"/>
            </w:pPr>
            <w:r>
              <w:t>6</w:t>
            </w:r>
          </w:p>
        </w:tc>
        <w:tc>
          <w:tcPr>
            <w:tcW w:w="1845" w:type="dxa"/>
            <w:shd w:val="clear" w:color="auto" w:fill="auto"/>
            <w:vAlign w:val="center"/>
          </w:tcPr>
          <w:p>
            <w:pPr>
              <w:spacing w:before="40" w:after="40"/>
              <w:jc w:val="center"/>
            </w:pPr>
            <w:r>
              <w:t>13h00’ ÷ 13h50’</w:t>
            </w:r>
          </w:p>
        </w:tc>
        <w:tc>
          <w:tcPr>
            <w:tcW w:w="848" w:type="dxa"/>
            <w:shd w:val="clear" w:color="auto" w:fill="auto"/>
            <w:vAlign w:val="center"/>
          </w:tcPr>
          <w:p>
            <w:pPr>
              <w:spacing w:before="40" w:after="40"/>
              <w:jc w:val="center"/>
            </w:pPr>
            <w:r>
              <w:t>10’</w:t>
            </w:r>
          </w:p>
        </w:tc>
        <w:tc>
          <w:tcPr>
            <w:tcW w:w="709" w:type="dxa"/>
            <w:vAlign w:val="center"/>
          </w:tcPr>
          <w:p>
            <w:pPr>
              <w:spacing w:before="40" w:after="40"/>
              <w:jc w:val="center"/>
            </w:pPr>
            <w:r>
              <w:t>12</w:t>
            </w:r>
          </w:p>
        </w:tc>
        <w:tc>
          <w:tcPr>
            <w:tcW w:w="1843" w:type="dxa"/>
            <w:shd w:val="clear" w:color="auto" w:fill="auto"/>
            <w:vAlign w:val="center"/>
          </w:tcPr>
          <w:p>
            <w:pPr>
              <w:spacing w:before="40" w:after="40"/>
              <w:jc w:val="center"/>
            </w:pPr>
            <w:r>
              <w:t>18h00’ ÷ 18h50’</w:t>
            </w:r>
          </w:p>
        </w:tc>
        <w:tc>
          <w:tcPr>
            <w:tcW w:w="850" w:type="dxa"/>
            <w:shd w:val="clear" w:color="auto" w:fill="auto"/>
            <w:vAlign w:val="center"/>
          </w:tcPr>
          <w:p>
            <w:pPr>
              <w:spacing w:before="40" w:after="40"/>
              <w:jc w:val="center"/>
            </w:pPr>
            <w:r>
              <w:t>10’</w:t>
            </w:r>
          </w:p>
        </w:tc>
        <w:tc>
          <w:tcPr>
            <w:tcW w:w="709" w:type="dxa"/>
            <w:vAlign w:val="center"/>
          </w:tcPr>
          <w:p>
            <w:pPr>
              <w:spacing w:before="40" w:after="40"/>
              <w:jc w:val="center"/>
            </w:pPr>
          </w:p>
        </w:tc>
        <w:tc>
          <w:tcPr>
            <w:tcW w:w="1843" w:type="dxa"/>
            <w:vAlign w:val="center"/>
          </w:tcPr>
          <w:p>
            <w:pPr>
              <w:spacing w:before="40" w:after="40"/>
              <w:jc w:val="center"/>
            </w:pPr>
          </w:p>
        </w:tc>
        <w:tc>
          <w:tcPr>
            <w:tcW w:w="992" w:type="dxa"/>
            <w:vAlign w:val="center"/>
          </w:tcPr>
          <w:p>
            <w:pPr>
              <w:spacing w:before="40" w:after="40"/>
              <w:jc w:val="center"/>
            </w:pPr>
          </w:p>
        </w:tc>
      </w:tr>
    </w:tbl>
    <w:p>
      <w:pPr>
        <w:spacing w:before="120"/>
        <w:ind w:right="-297"/>
        <w:rPr>
          <w:szCs w:val="26"/>
          <w:lang w:val="vi-VN"/>
        </w:rPr>
      </w:pPr>
      <w:r>
        <w:rPr>
          <w:b/>
          <w:i/>
          <w:szCs w:val="26"/>
        </w:rPr>
        <w:t>Ghi chú</w:t>
      </w:r>
      <w:r>
        <w:rPr>
          <w:szCs w:val="26"/>
        </w:rPr>
        <w:t>: Áp dụng thống nhất đối với cả giờ học tại giảng đường, tại phòng máy tính, phòng thí nghiệm.</w:t>
      </w:r>
      <w:bookmarkStart w:id="14" w:name="_GoBack"/>
      <w:bookmarkEnd w:id="14"/>
    </w:p>
    <w:sectPr>
      <w:pgSz w:w="15840" w:h="12240" w:orient="landscape"/>
      <w:pgMar w:top="1440" w:right="1440" w:bottom="1440" w:left="1440" w:header="720" w:footer="720" w:gutter="0"/>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Times New Roman"/>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Malgun Gothic">
    <w:altName w:val="Arial MT Black"/>
    <w:panose1 w:val="00000000000000000000"/>
    <w:charset w:val="86"/>
    <w:family w:val="auto"/>
    <w:pitch w:val="default"/>
    <w:sig w:usb0="00000000" w:usb1="00000000" w:usb2="00000000" w:usb3="00000000" w:csb0="00000000" w:csb1="00000000"/>
  </w:font>
  <w:font w:name="Arial MT Black">
    <w:panose1 w:val="00000102000000010000"/>
    <w:charset w:val="00"/>
    <w:family w:val="auto"/>
    <w:pitch w:val="default"/>
    <w:sig w:usb0="00000000" w:usb1="00000000" w:usb2="00000000" w:usb3="00000000" w:csb0="00000013" w:csb1="00000000"/>
  </w:font>
  <w:font w:name="Tahoma">
    <w:altName w:val="DejaVu Sans"/>
    <w:panose1 w:val="020B0604030504040204"/>
    <w:charset w:val="00"/>
    <w:family w:val="swiss"/>
    <w:pitch w:val="default"/>
    <w:sig w:usb0="00000000" w:usb1="00000000" w:usb2="00000029" w:usb3="00000000" w:csb0="000101FF" w:csb1="00000000"/>
  </w:font>
  <w:font w:name=".VnTime">
    <w:altName w:val="Arial MT Black"/>
    <w:panose1 w:val="00000000000000000000"/>
    <w:charset w:val="00"/>
    <w:family w:val="swiss"/>
    <w:pitch w:val="default"/>
    <w:sig w:usb0="00000000" w:usb1="00000000" w:usb2="00000000" w:usb3="00000000" w:csb0="00000001" w:csb1="00000000"/>
  </w:font>
  <w:font w:name="Verdana">
    <w:altName w:val="Ubuntu Light"/>
    <w:panose1 w:val="020B0604030504040204"/>
    <w:charset w:val="00"/>
    <w:family w:val="swiss"/>
    <w:pitch w:val="default"/>
    <w:sig w:usb0="00000000" w:usb1="00000000" w:usb2="00000010" w:usb3="00000000" w:csb0="0000019F" w:csb1="00000000"/>
  </w:font>
  <w:font w:name="Ubuntu Light">
    <w:panose1 w:val="020B0604030602030204"/>
    <w:charset w:val="00"/>
    <w:family w:val="auto"/>
    <w:pitch w:val="default"/>
    <w:sig w:usb0="E00002FF" w:usb1="5000205B" w:usb2="00000000" w:usb3="00000000" w:csb0="2000009F" w:csb1="56010000"/>
  </w:font>
  <w:font w:name="Georgia">
    <w:altName w:val="FreeSerif"/>
    <w:panose1 w:val="02040502050405020303"/>
    <w:charset w:val="00"/>
    <w:family w:val="roman"/>
    <w:pitch w:val="default"/>
    <w:sig w:usb0="00000000" w:usb1="00000000" w:usb2="00000000" w:usb3="00000000" w:csb0="0000009F" w:csb1="00000000"/>
  </w:font>
  <w:font w:name="FreeSerif">
    <w:panose1 w:val="02020603050405020304"/>
    <w:charset w:val="00"/>
    <w:family w:val="auto"/>
    <w:pitch w:val="default"/>
    <w:sig w:usb0="E59FAFFF" w:usb1="C200FDFF" w:usb2="43501B29" w:usb3="04000003" w:csb0="600101FF" w:csb1="FFFF0000"/>
  </w:font>
  <w:font w:name="Noto Sans Symbols">
    <w:altName w:val="Arial MT Black"/>
    <w:panose1 w:val="00000000000000000000"/>
    <w:charset w:val="00"/>
    <w:family w:val="auto"/>
    <w:pitch w:val="default"/>
    <w:sig w:usb0="00000000" w:usb1="00000000" w:usb2="00000000" w:usb3="00000000" w:csb0="00000000" w:csb1="00000000"/>
  </w:font>
  <w:font w:name="Symbol">
    <w:altName w:val="OpenSymbol"/>
    <w:panose1 w:val="05050102010706020507"/>
    <w:charset w:val="02"/>
    <w:family w:val="roman"/>
    <w:pitch w:val="default"/>
    <w:sig w:usb0="00000000" w:usb1="00000000" w:usb2="00000000" w:usb3="00000000" w:csb0="80000000" w:csb1="00000000"/>
  </w:font>
  <w:font w:name="OpenSymbol">
    <w:panose1 w:val="05010000000000000000"/>
    <w:charset w:val="00"/>
    <w:family w:val="auto"/>
    <w:pitch w:val="default"/>
    <w:sig w:usb0="800000AF" w:usb1="1001ECEA" w:usb2="00000000" w:usb3="00000000" w:csb0="80000001" w:csb1="00000000"/>
  </w:font>
  <w:font w:name="Wingdings">
    <w:altName w:val="OpenSymbol"/>
    <w:panose1 w:val="05000000000000000000"/>
    <w:charset w:val="02"/>
    <w:family w:val="auto"/>
    <w:pitch w:val="default"/>
    <w:sig w:usb0="00000000" w:usb1="00000000" w:usb2="00000000" w:usb3="00000000" w:csb0="80000000" w:csb1="00000000"/>
  </w:font>
  <w:font w:name="Consolas NF">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437CE7"/>
    <w:multiLevelType w:val="multilevel"/>
    <w:tmpl w:val="18437CE7"/>
    <w:lvl w:ilvl="0" w:tentative="0">
      <w:start w:val="1"/>
      <w:numFmt w:val="bullet"/>
      <w:lvlText w:val="●"/>
      <w:lvlJc w:val="left"/>
      <w:pPr>
        <w:ind w:left="1440" w:hanging="360"/>
      </w:pPr>
      <w:rPr>
        <w:rFonts w:ascii="Noto Sans Symbols" w:hAnsi="Noto Sans Symbols" w:eastAsia="Noto Sans Symbols" w:cs="Noto Sans Symbols"/>
      </w:rPr>
    </w:lvl>
    <w:lvl w:ilvl="1" w:tentative="0">
      <w:start w:val="1"/>
      <w:numFmt w:val="bullet"/>
      <w:lvlText w:val="o"/>
      <w:lvlJc w:val="left"/>
      <w:pPr>
        <w:ind w:left="2160" w:hanging="360"/>
      </w:pPr>
      <w:rPr>
        <w:rFonts w:ascii="Courier New" w:hAnsi="Courier New" w:eastAsia="Courier New" w:cs="Courier New"/>
      </w:rPr>
    </w:lvl>
    <w:lvl w:ilvl="2" w:tentative="0">
      <w:start w:val="1"/>
      <w:numFmt w:val="bullet"/>
      <w:lvlText w:val="▪"/>
      <w:lvlJc w:val="left"/>
      <w:pPr>
        <w:ind w:left="2880" w:hanging="360"/>
      </w:pPr>
      <w:rPr>
        <w:rFonts w:ascii="Noto Sans Symbols" w:hAnsi="Noto Sans Symbols" w:eastAsia="Noto Sans Symbols" w:cs="Noto Sans Symbols"/>
      </w:rPr>
    </w:lvl>
    <w:lvl w:ilvl="3" w:tentative="0">
      <w:start w:val="1"/>
      <w:numFmt w:val="bullet"/>
      <w:lvlText w:val="●"/>
      <w:lvlJc w:val="left"/>
      <w:pPr>
        <w:ind w:left="3600" w:hanging="360"/>
      </w:pPr>
      <w:rPr>
        <w:rFonts w:ascii="Noto Sans Symbols" w:hAnsi="Noto Sans Symbols" w:eastAsia="Noto Sans Symbols" w:cs="Noto Sans Symbols"/>
      </w:rPr>
    </w:lvl>
    <w:lvl w:ilvl="4" w:tentative="0">
      <w:start w:val="1"/>
      <w:numFmt w:val="bullet"/>
      <w:lvlText w:val="o"/>
      <w:lvlJc w:val="left"/>
      <w:pPr>
        <w:ind w:left="4320" w:hanging="360"/>
      </w:pPr>
      <w:rPr>
        <w:rFonts w:ascii="Courier New" w:hAnsi="Courier New" w:eastAsia="Courier New" w:cs="Courier New"/>
      </w:rPr>
    </w:lvl>
    <w:lvl w:ilvl="5" w:tentative="0">
      <w:start w:val="1"/>
      <w:numFmt w:val="bullet"/>
      <w:lvlText w:val="▪"/>
      <w:lvlJc w:val="left"/>
      <w:pPr>
        <w:ind w:left="5040" w:hanging="360"/>
      </w:pPr>
      <w:rPr>
        <w:rFonts w:ascii="Noto Sans Symbols" w:hAnsi="Noto Sans Symbols" w:eastAsia="Noto Sans Symbols" w:cs="Noto Sans Symbols"/>
      </w:rPr>
    </w:lvl>
    <w:lvl w:ilvl="6" w:tentative="0">
      <w:start w:val="1"/>
      <w:numFmt w:val="bullet"/>
      <w:lvlText w:val="●"/>
      <w:lvlJc w:val="left"/>
      <w:pPr>
        <w:ind w:left="5760" w:hanging="360"/>
      </w:pPr>
      <w:rPr>
        <w:rFonts w:ascii="Noto Sans Symbols" w:hAnsi="Noto Sans Symbols" w:eastAsia="Noto Sans Symbols" w:cs="Noto Sans Symbols"/>
      </w:rPr>
    </w:lvl>
    <w:lvl w:ilvl="7" w:tentative="0">
      <w:start w:val="1"/>
      <w:numFmt w:val="bullet"/>
      <w:lvlText w:val="o"/>
      <w:lvlJc w:val="left"/>
      <w:pPr>
        <w:ind w:left="6480" w:hanging="360"/>
      </w:pPr>
      <w:rPr>
        <w:rFonts w:ascii="Courier New" w:hAnsi="Courier New" w:eastAsia="Courier New" w:cs="Courier New"/>
      </w:rPr>
    </w:lvl>
    <w:lvl w:ilvl="8" w:tentative="0">
      <w:start w:val="1"/>
      <w:numFmt w:val="bullet"/>
      <w:lvlText w:val="▪"/>
      <w:lvlJc w:val="left"/>
      <w:pPr>
        <w:ind w:left="7200" w:hanging="360"/>
      </w:pPr>
      <w:rPr>
        <w:rFonts w:ascii="Noto Sans Symbols" w:hAnsi="Noto Sans Symbols" w:eastAsia="Noto Sans Symbols" w:cs="Noto Sans Symbols"/>
      </w:rPr>
    </w:lvl>
  </w:abstractNum>
  <w:abstractNum w:abstractNumId="1">
    <w:nsid w:val="2C8E02DB"/>
    <w:multiLevelType w:val="multilevel"/>
    <w:tmpl w:val="2C8E02D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52D497E"/>
    <w:multiLevelType w:val="multilevel"/>
    <w:tmpl w:val="352D497E"/>
    <w:lvl w:ilvl="0" w:tentative="0">
      <w:start w:val="1"/>
      <w:numFmt w:val="decimal"/>
      <w:pStyle w:val="67"/>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C33"/>
    <w:rsid w:val="00005193"/>
    <w:rsid w:val="00050384"/>
    <w:rsid w:val="00051529"/>
    <w:rsid w:val="00083D41"/>
    <w:rsid w:val="00084B62"/>
    <w:rsid w:val="000964DC"/>
    <w:rsid w:val="001041A9"/>
    <w:rsid w:val="00143309"/>
    <w:rsid w:val="001716EE"/>
    <w:rsid w:val="001852FE"/>
    <w:rsid w:val="00195BB3"/>
    <w:rsid w:val="001C13C7"/>
    <w:rsid w:val="001D7E18"/>
    <w:rsid w:val="001E6278"/>
    <w:rsid w:val="00247B68"/>
    <w:rsid w:val="00253ECD"/>
    <w:rsid w:val="00255570"/>
    <w:rsid w:val="002B4025"/>
    <w:rsid w:val="00313424"/>
    <w:rsid w:val="003350EE"/>
    <w:rsid w:val="00346D10"/>
    <w:rsid w:val="003577AF"/>
    <w:rsid w:val="00383A50"/>
    <w:rsid w:val="003B21E0"/>
    <w:rsid w:val="003D343F"/>
    <w:rsid w:val="003D726C"/>
    <w:rsid w:val="003F0064"/>
    <w:rsid w:val="003F3770"/>
    <w:rsid w:val="00425C33"/>
    <w:rsid w:val="004301DC"/>
    <w:rsid w:val="0044394B"/>
    <w:rsid w:val="0045416C"/>
    <w:rsid w:val="004702E6"/>
    <w:rsid w:val="0049091A"/>
    <w:rsid w:val="004923A1"/>
    <w:rsid w:val="004A73A2"/>
    <w:rsid w:val="005424E8"/>
    <w:rsid w:val="00562614"/>
    <w:rsid w:val="005B3CE3"/>
    <w:rsid w:val="005C3943"/>
    <w:rsid w:val="005D5298"/>
    <w:rsid w:val="005E5395"/>
    <w:rsid w:val="00602908"/>
    <w:rsid w:val="00633A35"/>
    <w:rsid w:val="006F2F40"/>
    <w:rsid w:val="00723115"/>
    <w:rsid w:val="007E2A1F"/>
    <w:rsid w:val="008D5600"/>
    <w:rsid w:val="008E10B9"/>
    <w:rsid w:val="00910D71"/>
    <w:rsid w:val="00915DA0"/>
    <w:rsid w:val="009232E8"/>
    <w:rsid w:val="009647B5"/>
    <w:rsid w:val="00974F62"/>
    <w:rsid w:val="00976AF9"/>
    <w:rsid w:val="009A12E1"/>
    <w:rsid w:val="009A6FC7"/>
    <w:rsid w:val="009B5FF1"/>
    <w:rsid w:val="00A15CFB"/>
    <w:rsid w:val="00A167B7"/>
    <w:rsid w:val="00A35CB1"/>
    <w:rsid w:val="00A379BE"/>
    <w:rsid w:val="00A62D2D"/>
    <w:rsid w:val="00AC432A"/>
    <w:rsid w:val="00B17DE9"/>
    <w:rsid w:val="00B27276"/>
    <w:rsid w:val="00B557C0"/>
    <w:rsid w:val="00C32AC6"/>
    <w:rsid w:val="00C624C3"/>
    <w:rsid w:val="00C7497D"/>
    <w:rsid w:val="00C97E3A"/>
    <w:rsid w:val="00CB7F34"/>
    <w:rsid w:val="00CD0F63"/>
    <w:rsid w:val="00DA1E42"/>
    <w:rsid w:val="00E40631"/>
    <w:rsid w:val="00E50EE2"/>
    <w:rsid w:val="00E51AAD"/>
    <w:rsid w:val="00E8341D"/>
    <w:rsid w:val="00EC1148"/>
    <w:rsid w:val="00EE481C"/>
    <w:rsid w:val="00EF4472"/>
    <w:rsid w:val="00F11EA6"/>
    <w:rsid w:val="00F86841"/>
    <w:rsid w:val="00FB066D"/>
    <w:rsid w:val="00FD7AFB"/>
    <w:rsid w:val="00FE1A92"/>
    <w:rsid w:val="9F5E8BB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name="heading 3"/>
    <w:lsdException w:qFormat="1" w:uiPriority="9" w:semiHidden="0" w:name="heading 4"/>
    <w:lsdException w:qFormat="1" w:uiPriority="9" w:name="heading 5"/>
    <w:lsdException w:qFormat="1" w:uiPriority="9"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nhideWhenUsed="0" w:uiPriority="39" w:semiHidden="0" w:name="toc 3"/>
    <w:lsdException w:unhideWhenUsed="0" w:uiPriority="39" w:semiHidden="0" w:name="toc 4"/>
    <w:lsdException w:unhideWhenUsed="0" w:uiPriority="39" w:semiHidden="0" w:name="toc 5"/>
    <w:lsdException w:unhideWhenUsed="0" w:uiPriority="39" w:semiHidden="0" w:name="toc 6"/>
    <w:lsdException w:unhideWhenUsed="0" w:uiPriority="39" w:semiHidden="0" w:name="toc 7"/>
    <w:lsdException w:unhideWhenUsed="0" w:uiPriority="39" w:semiHidden="0" w:name="toc 8"/>
    <w:lsdException w:unhideWhenUsed="0"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semiHidden="0"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0"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1"/>
    <w:basedOn w:val="1"/>
    <w:next w:val="1"/>
    <w:link w:val="40"/>
    <w:qFormat/>
    <w:uiPriority w:val="0"/>
    <w:pPr>
      <w:keepNext/>
      <w:keepLines/>
      <w:spacing w:before="240" w:line="259" w:lineRule="auto"/>
      <w:outlineLvl w:val="0"/>
    </w:pPr>
    <w:rPr>
      <w:rFonts w:eastAsiaTheme="majorEastAsia" w:cstheme="majorBidi"/>
      <w:b/>
      <w:sz w:val="32"/>
      <w:szCs w:val="32"/>
      <w:lang w:eastAsia="ko-KR"/>
    </w:rPr>
  </w:style>
  <w:style w:type="paragraph" w:styleId="3">
    <w:name w:val="heading 2"/>
    <w:basedOn w:val="1"/>
    <w:next w:val="1"/>
    <w:link w:val="42"/>
    <w:unhideWhenUsed/>
    <w:qFormat/>
    <w:uiPriority w:val="0"/>
    <w:pPr>
      <w:keepNext/>
      <w:keepLines/>
      <w:spacing w:before="40" w:line="259" w:lineRule="auto"/>
      <w:outlineLvl w:val="1"/>
    </w:pPr>
    <w:rPr>
      <w:rFonts w:eastAsiaTheme="majorEastAsia" w:cstheme="majorBidi"/>
      <w:b/>
      <w:sz w:val="26"/>
      <w:szCs w:val="26"/>
      <w:lang w:eastAsia="ko-KR"/>
    </w:rPr>
  </w:style>
  <w:style w:type="paragraph" w:styleId="4">
    <w:name w:val="heading 3"/>
    <w:basedOn w:val="1"/>
    <w:next w:val="1"/>
    <w:link w:val="44"/>
    <w:semiHidden/>
    <w:unhideWhenUsed/>
    <w:qFormat/>
    <w:uiPriority w:val="9"/>
    <w:pPr>
      <w:keepNext/>
      <w:tabs>
        <w:tab w:val="left" w:pos="0"/>
      </w:tabs>
      <w:spacing w:before="240" w:after="60" w:line="320" w:lineRule="exact"/>
      <w:ind w:left="397" w:hanging="397"/>
      <w:jc w:val="both"/>
      <w:outlineLvl w:val="2"/>
    </w:pPr>
    <w:rPr>
      <w:rFonts w:ascii="Arial" w:hAnsi="Arial" w:cs="Arial"/>
      <w:b/>
      <w:bCs/>
    </w:rPr>
  </w:style>
  <w:style w:type="paragraph" w:styleId="5">
    <w:name w:val="heading 4"/>
    <w:basedOn w:val="1"/>
    <w:next w:val="1"/>
    <w:link w:val="45"/>
    <w:unhideWhenUsed/>
    <w:qFormat/>
    <w:uiPriority w:val="9"/>
    <w:pPr>
      <w:keepNext/>
      <w:spacing w:before="240" w:after="60"/>
      <w:ind w:firstLine="720"/>
      <w:jc w:val="both"/>
      <w:outlineLvl w:val="3"/>
    </w:pPr>
    <w:rPr>
      <w:rFonts w:ascii="Arial" w:hAnsi="Arial"/>
      <w:b/>
      <w:bCs/>
      <w:sz w:val="28"/>
      <w:szCs w:val="28"/>
      <w:lang w:val="vi-VN"/>
    </w:rPr>
  </w:style>
  <w:style w:type="paragraph" w:styleId="6">
    <w:name w:val="heading 5"/>
    <w:basedOn w:val="1"/>
    <w:next w:val="1"/>
    <w:link w:val="46"/>
    <w:semiHidden/>
    <w:unhideWhenUsed/>
    <w:qFormat/>
    <w:uiPriority w:val="9"/>
    <w:pPr>
      <w:tabs>
        <w:tab w:val="left" w:pos="1008"/>
      </w:tabs>
      <w:spacing w:before="240" w:after="60" w:line="312" w:lineRule="auto"/>
      <w:ind w:left="1008" w:hanging="1008"/>
      <w:jc w:val="both"/>
      <w:outlineLvl w:val="4"/>
    </w:pPr>
    <w:rPr>
      <w:sz w:val="22"/>
      <w:szCs w:val="28"/>
    </w:rPr>
  </w:style>
  <w:style w:type="paragraph" w:styleId="7">
    <w:name w:val="heading 6"/>
    <w:basedOn w:val="1"/>
    <w:next w:val="1"/>
    <w:link w:val="47"/>
    <w:semiHidden/>
    <w:unhideWhenUsed/>
    <w:qFormat/>
    <w:uiPriority w:val="9"/>
    <w:pPr>
      <w:tabs>
        <w:tab w:val="left" w:pos="1152"/>
      </w:tabs>
      <w:spacing w:before="240" w:after="60" w:line="312" w:lineRule="auto"/>
      <w:ind w:left="1152" w:hanging="1152"/>
      <w:jc w:val="both"/>
      <w:outlineLvl w:val="5"/>
    </w:pPr>
    <w:rPr>
      <w:i/>
      <w:iCs/>
      <w:sz w:val="22"/>
      <w:szCs w:val="28"/>
    </w:rPr>
  </w:style>
  <w:style w:type="paragraph" w:styleId="8">
    <w:name w:val="heading 7"/>
    <w:basedOn w:val="1"/>
    <w:next w:val="1"/>
    <w:link w:val="48"/>
    <w:qFormat/>
    <w:uiPriority w:val="0"/>
    <w:pPr>
      <w:tabs>
        <w:tab w:val="left" w:pos="1296"/>
      </w:tabs>
      <w:spacing w:before="240" w:after="60" w:line="312" w:lineRule="auto"/>
      <w:ind w:left="1296" w:hanging="1296"/>
      <w:jc w:val="both"/>
      <w:outlineLvl w:val="6"/>
    </w:pPr>
  </w:style>
  <w:style w:type="paragraph" w:styleId="9">
    <w:name w:val="heading 8"/>
    <w:basedOn w:val="1"/>
    <w:next w:val="1"/>
    <w:link w:val="49"/>
    <w:qFormat/>
    <w:uiPriority w:val="0"/>
    <w:pPr>
      <w:tabs>
        <w:tab w:val="left" w:pos="1440"/>
      </w:tabs>
      <w:spacing w:before="240" w:after="60" w:line="312" w:lineRule="auto"/>
      <w:ind w:left="1440" w:hanging="1440"/>
      <w:jc w:val="both"/>
      <w:outlineLvl w:val="7"/>
    </w:pPr>
    <w:rPr>
      <w:i/>
      <w:iCs/>
    </w:rPr>
  </w:style>
  <w:style w:type="paragraph" w:styleId="10">
    <w:name w:val="heading 9"/>
    <w:basedOn w:val="1"/>
    <w:next w:val="1"/>
    <w:link w:val="50"/>
    <w:qFormat/>
    <w:uiPriority w:val="0"/>
    <w:pPr>
      <w:tabs>
        <w:tab w:val="left" w:pos="1584"/>
      </w:tabs>
      <w:spacing w:before="240" w:after="60" w:line="312" w:lineRule="auto"/>
      <w:ind w:left="1584" w:hanging="1584"/>
      <w:jc w:val="both"/>
      <w:outlineLvl w:val="8"/>
    </w:pPr>
    <w:rPr>
      <w:rFonts w:ascii="Arial" w:hAnsi="Arial" w:cs="Arial"/>
      <w:sz w:val="22"/>
      <w:szCs w:val="28"/>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52"/>
    <w:semiHidden/>
    <w:unhideWhenUsed/>
    <w:uiPriority w:val="0"/>
    <w:pPr>
      <w:ind w:firstLine="720"/>
      <w:jc w:val="both"/>
    </w:pPr>
    <w:rPr>
      <w:rFonts w:ascii="Tahoma" w:hAnsi="Tahoma" w:eastAsia="Arial" w:cs="Tahoma"/>
      <w:sz w:val="16"/>
      <w:szCs w:val="16"/>
      <w:lang w:val="vi-VN"/>
    </w:rPr>
  </w:style>
  <w:style w:type="paragraph" w:styleId="14">
    <w:name w:val="Body Text"/>
    <w:basedOn w:val="1"/>
    <w:link w:val="57"/>
    <w:uiPriority w:val="0"/>
    <w:pPr>
      <w:spacing w:after="120"/>
    </w:pPr>
  </w:style>
  <w:style w:type="paragraph" w:styleId="15">
    <w:name w:val="Body Text 2"/>
    <w:basedOn w:val="1"/>
    <w:link w:val="59"/>
    <w:uiPriority w:val="0"/>
    <w:rPr>
      <w:b/>
      <w:bCs/>
      <w:sz w:val="28"/>
      <w:lang w:val="vi-VN"/>
    </w:rPr>
  </w:style>
  <w:style w:type="character" w:styleId="16">
    <w:name w:val="annotation reference"/>
    <w:basedOn w:val="11"/>
    <w:semiHidden/>
    <w:unhideWhenUsed/>
    <w:uiPriority w:val="99"/>
    <w:rPr>
      <w:sz w:val="16"/>
      <w:szCs w:val="16"/>
    </w:rPr>
  </w:style>
  <w:style w:type="paragraph" w:styleId="17">
    <w:name w:val="annotation text"/>
    <w:basedOn w:val="1"/>
    <w:link w:val="74"/>
    <w:semiHidden/>
    <w:unhideWhenUsed/>
    <w:uiPriority w:val="99"/>
    <w:rPr>
      <w:sz w:val="20"/>
      <w:szCs w:val="20"/>
    </w:rPr>
  </w:style>
  <w:style w:type="paragraph" w:styleId="18">
    <w:name w:val="annotation subject"/>
    <w:basedOn w:val="17"/>
    <w:next w:val="17"/>
    <w:link w:val="75"/>
    <w:semiHidden/>
    <w:unhideWhenUsed/>
    <w:uiPriority w:val="99"/>
    <w:rPr>
      <w:b/>
      <w:bCs/>
    </w:rPr>
  </w:style>
  <w:style w:type="paragraph" w:styleId="19">
    <w:name w:val="Document Map"/>
    <w:basedOn w:val="1"/>
    <w:link w:val="53"/>
    <w:semiHidden/>
    <w:unhideWhenUsed/>
    <w:uiPriority w:val="99"/>
    <w:pPr>
      <w:spacing w:after="120"/>
      <w:ind w:firstLine="720"/>
      <w:jc w:val="both"/>
    </w:pPr>
    <w:rPr>
      <w:rFonts w:ascii="Tahoma" w:hAnsi="Tahoma" w:eastAsia="Arial" w:cs="Tahoma"/>
      <w:sz w:val="16"/>
      <w:szCs w:val="16"/>
      <w:lang w:val="vi-VN"/>
    </w:rPr>
  </w:style>
  <w:style w:type="paragraph" w:styleId="20">
    <w:name w:val="footer"/>
    <w:basedOn w:val="1"/>
    <w:link w:val="55"/>
    <w:unhideWhenUsed/>
    <w:uiPriority w:val="99"/>
    <w:pPr>
      <w:tabs>
        <w:tab w:val="center" w:pos="4513"/>
        <w:tab w:val="right" w:pos="9026"/>
      </w:tabs>
      <w:spacing w:after="120"/>
      <w:ind w:firstLine="720"/>
      <w:jc w:val="both"/>
    </w:pPr>
    <w:rPr>
      <w:rFonts w:eastAsia="Arial"/>
      <w:sz w:val="28"/>
      <w:szCs w:val="28"/>
      <w:lang w:val="vi-VN"/>
    </w:rPr>
  </w:style>
  <w:style w:type="paragraph" w:styleId="21">
    <w:name w:val="header"/>
    <w:basedOn w:val="1"/>
    <w:link w:val="54"/>
    <w:unhideWhenUsed/>
    <w:uiPriority w:val="99"/>
    <w:pPr>
      <w:tabs>
        <w:tab w:val="center" w:pos="4513"/>
        <w:tab w:val="right" w:pos="9026"/>
      </w:tabs>
      <w:spacing w:after="120"/>
      <w:ind w:firstLine="720"/>
      <w:jc w:val="both"/>
    </w:pPr>
    <w:rPr>
      <w:rFonts w:eastAsia="Arial"/>
      <w:sz w:val="28"/>
      <w:szCs w:val="28"/>
      <w:lang w:val="vi-VN"/>
    </w:rPr>
  </w:style>
  <w:style w:type="paragraph" w:styleId="22">
    <w:name w:val="HTML Preformatted"/>
    <w:basedOn w:val="1"/>
    <w:link w:val="6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Verdana" w:hAnsi="Verdana" w:cs="Courier New"/>
      <w:color w:val="000000"/>
      <w:sz w:val="20"/>
      <w:szCs w:val="20"/>
    </w:rPr>
  </w:style>
  <w:style w:type="character" w:styleId="23">
    <w:name w:val="Hyperlink"/>
    <w:basedOn w:val="11"/>
    <w:unhideWhenUsed/>
    <w:uiPriority w:val="99"/>
    <w:rPr>
      <w:color w:val="0563C1" w:themeColor="hyperlink"/>
      <w:u w:val="single"/>
      <w14:textFill>
        <w14:solidFill>
          <w14:schemeClr w14:val="hlink"/>
        </w14:solidFill>
      </w14:textFill>
    </w:rPr>
  </w:style>
  <w:style w:type="paragraph" w:styleId="24">
    <w:name w:val="Normal (Web)"/>
    <w:basedOn w:val="1"/>
    <w:semiHidden/>
    <w:unhideWhenUsed/>
    <w:uiPriority w:val="99"/>
    <w:pPr>
      <w:spacing w:before="100" w:beforeAutospacing="1" w:after="100" w:afterAutospacing="1"/>
    </w:pPr>
  </w:style>
  <w:style w:type="character" w:styleId="25">
    <w:name w:val="page number"/>
    <w:basedOn w:val="11"/>
    <w:uiPriority w:val="0"/>
  </w:style>
  <w:style w:type="paragraph" w:styleId="26">
    <w:name w:val="Subtitle"/>
    <w:basedOn w:val="1"/>
    <w:next w:val="1"/>
    <w:link w:val="73"/>
    <w:qFormat/>
    <w:uiPriority w:val="11"/>
    <w:pPr>
      <w:keepNext/>
      <w:keepLines/>
      <w:spacing w:before="360" w:after="80"/>
      <w:ind w:firstLine="720"/>
      <w:jc w:val="both"/>
    </w:pPr>
    <w:rPr>
      <w:rFonts w:ascii="Georgia" w:hAnsi="Georgia" w:eastAsia="Georgia" w:cs="Georgia"/>
      <w:i/>
      <w:color w:val="666666"/>
      <w:sz w:val="48"/>
      <w:szCs w:val="48"/>
      <w:lang w:val="vi-VN"/>
    </w:rPr>
  </w:style>
  <w:style w:type="table" w:styleId="27">
    <w:name w:val="Table Grid"/>
    <w:basedOn w:val="12"/>
    <w:uiPriority w:val="39"/>
    <w:pPr>
      <w:spacing w:after="0" w:line="240" w:lineRule="auto"/>
      <w:ind w:firstLine="720"/>
      <w:jc w:val="both"/>
    </w:pPr>
    <w:rPr>
      <w:rFonts w:eastAsia="Times New Roman" w:cs="Times New Roman"/>
      <w:sz w:val="18"/>
      <w:szCs w:val="20"/>
      <w:lang w:val="vi-VN" w:eastAsia="vi-V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8">
    <w:name w:val="Title"/>
    <w:basedOn w:val="1"/>
    <w:link w:val="51"/>
    <w:qFormat/>
    <w:uiPriority w:val="10"/>
    <w:pPr>
      <w:spacing w:before="240" w:after="60"/>
      <w:jc w:val="center"/>
      <w:outlineLvl w:val="0"/>
    </w:pPr>
    <w:rPr>
      <w:rFonts w:ascii="Arial" w:hAnsi="Arial" w:cs="Arial"/>
      <w:b/>
      <w:bCs/>
      <w:kern w:val="28"/>
      <w:sz w:val="32"/>
      <w:szCs w:val="32"/>
    </w:rPr>
  </w:style>
  <w:style w:type="paragraph" w:styleId="29">
    <w:name w:val="toc 1"/>
    <w:basedOn w:val="1"/>
    <w:next w:val="1"/>
    <w:unhideWhenUsed/>
    <w:uiPriority w:val="39"/>
    <w:pPr>
      <w:spacing w:after="100" w:line="259" w:lineRule="auto"/>
    </w:pPr>
    <w:rPr>
      <w:rFonts w:eastAsiaTheme="minorEastAsia" w:cstheme="minorBidi"/>
      <w:sz w:val="26"/>
      <w:szCs w:val="22"/>
      <w:lang w:eastAsia="ko-KR"/>
    </w:rPr>
  </w:style>
  <w:style w:type="paragraph" w:styleId="30">
    <w:name w:val="toc 2"/>
    <w:basedOn w:val="1"/>
    <w:next w:val="1"/>
    <w:unhideWhenUsed/>
    <w:uiPriority w:val="39"/>
    <w:pPr>
      <w:spacing w:after="100" w:line="259" w:lineRule="auto"/>
      <w:ind w:left="260"/>
    </w:pPr>
    <w:rPr>
      <w:rFonts w:eastAsiaTheme="minorEastAsia" w:cstheme="minorBidi"/>
      <w:sz w:val="26"/>
      <w:szCs w:val="22"/>
      <w:lang w:eastAsia="ko-KR"/>
    </w:rPr>
  </w:style>
  <w:style w:type="paragraph" w:styleId="31">
    <w:name w:val="toc 3"/>
    <w:basedOn w:val="1"/>
    <w:next w:val="1"/>
    <w:uiPriority w:val="39"/>
    <w:pPr>
      <w:ind w:left="480"/>
    </w:pPr>
  </w:style>
  <w:style w:type="paragraph" w:styleId="32">
    <w:name w:val="toc 4"/>
    <w:basedOn w:val="1"/>
    <w:next w:val="1"/>
    <w:uiPriority w:val="39"/>
    <w:pPr>
      <w:ind w:left="720"/>
    </w:pPr>
  </w:style>
  <w:style w:type="paragraph" w:styleId="33">
    <w:name w:val="toc 5"/>
    <w:basedOn w:val="1"/>
    <w:next w:val="1"/>
    <w:uiPriority w:val="39"/>
    <w:pPr>
      <w:ind w:left="960"/>
    </w:pPr>
  </w:style>
  <w:style w:type="paragraph" w:styleId="34">
    <w:name w:val="toc 6"/>
    <w:basedOn w:val="1"/>
    <w:next w:val="1"/>
    <w:uiPriority w:val="39"/>
    <w:pPr>
      <w:ind w:left="1200"/>
    </w:pPr>
  </w:style>
  <w:style w:type="paragraph" w:styleId="35">
    <w:name w:val="toc 7"/>
    <w:basedOn w:val="1"/>
    <w:next w:val="1"/>
    <w:uiPriority w:val="39"/>
    <w:pPr>
      <w:ind w:left="1440"/>
    </w:pPr>
  </w:style>
  <w:style w:type="paragraph" w:styleId="36">
    <w:name w:val="toc 8"/>
    <w:basedOn w:val="1"/>
    <w:next w:val="1"/>
    <w:uiPriority w:val="39"/>
    <w:pPr>
      <w:ind w:left="1680"/>
    </w:pPr>
  </w:style>
  <w:style w:type="paragraph" w:styleId="37">
    <w:name w:val="toc 9"/>
    <w:basedOn w:val="1"/>
    <w:next w:val="1"/>
    <w:uiPriority w:val="39"/>
    <w:pPr>
      <w:ind w:left="1920"/>
    </w:pPr>
  </w:style>
  <w:style w:type="paragraph" w:styleId="38">
    <w:name w:val="No Spacing"/>
    <w:link w:val="39"/>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39">
    <w:name w:val="No Spacing Char"/>
    <w:basedOn w:val="11"/>
    <w:link w:val="38"/>
    <w:uiPriority w:val="1"/>
    <w:rPr>
      <w:rFonts w:asciiTheme="minorHAnsi" w:hAnsiTheme="minorHAnsi"/>
      <w:sz w:val="22"/>
      <w:lang w:eastAsia="en-US"/>
    </w:rPr>
  </w:style>
  <w:style w:type="character" w:customStyle="1" w:styleId="40">
    <w:name w:val="Heading 1 Char"/>
    <w:basedOn w:val="11"/>
    <w:link w:val="2"/>
    <w:uiPriority w:val="0"/>
    <w:rPr>
      <w:rFonts w:eastAsiaTheme="majorEastAsia" w:cstheme="majorBidi"/>
      <w:b/>
      <w:sz w:val="32"/>
      <w:szCs w:val="32"/>
    </w:rPr>
  </w:style>
  <w:style w:type="paragraph" w:customStyle="1" w:styleId="41">
    <w:name w:val="TOC Heading"/>
    <w:basedOn w:val="2"/>
    <w:next w:val="1"/>
    <w:unhideWhenUsed/>
    <w:qFormat/>
    <w:uiPriority w:val="39"/>
    <w:pPr>
      <w:outlineLvl w:val="9"/>
    </w:pPr>
    <w:rPr>
      <w:lang w:eastAsia="en-US"/>
    </w:rPr>
  </w:style>
  <w:style w:type="character" w:customStyle="1" w:styleId="42">
    <w:name w:val="Heading 2 Char"/>
    <w:basedOn w:val="11"/>
    <w:link w:val="3"/>
    <w:uiPriority w:val="0"/>
    <w:rPr>
      <w:rFonts w:eastAsiaTheme="majorEastAsia" w:cstheme="majorBidi"/>
      <w:b/>
      <w:szCs w:val="26"/>
    </w:rPr>
  </w:style>
  <w:style w:type="paragraph" w:styleId="43">
    <w:name w:val="List Paragraph"/>
    <w:basedOn w:val="1"/>
    <w:qFormat/>
    <w:uiPriority w:val="34"/>
    <w:pPr>
      <w:spacing w:after="160" w:line="259" w:lineRule="auto"/>
      <w:ind w:left="720"/>
      <w:contextualSpacing/>
    </w:pPr>
    <w:rPr>
      <w:rFonts w:eastAsiaTheme="minorEastAsia" w:cstheme="minorBidi"/>
      <w:sz w:val="26"/>
      <w:szCs w:val="22"/>
      <w:lang w:eastAsia="ko-KR"/>
    </w:rPr>
  </w:style>
  <w:style w:type="character" w:customStyle="1" w:styleId="44">
    <w:name w:val="Heading 3 Char"/>
    <w:basedOn w:val="11"/>
    <w:link w:val="4"/>
    <w:semiHidden/>
    <w:uiPriority w:val="9"/>
    <w:rPr>
      <w:rFonts w:ascii="Arial" w:hAnsi="Arial" w:eastAsia="Times New Roman" w:cs="Arial"/>
      <w:b/>
      <w:bCs/>
      <w:sz w:val="24"/>
      <w:szCs w:val="24"/>
      <w:lang w:eastAsia="en-US"/>
    </w:rPr>
  </w:style>
  <w:style w:type="character" w:customStyle="1" w:styleId="45">
    <w:name w:val="Heading 4 Char"/>
    <w:basedOn w:val="11"/>
    <w:link w:val="5"/>
    <w:uiPriority w:val="9"/>
    <w:rPr>
      <w:rFonts w:ascii="Arial" w:hAnsi="Arial" w:eastAsia="Times New Roman" w:cs="Times New Roman"/>
      <w:b/>
      <w:bCs/>
      <w:sz w:val="28"/>
      <w:szCs w:val="28"/>
      <w:lang w:val="vi-VN" w:eastAsia="en-US"/>
    </w:rPr>
  </w:style>
  <w:style w:type="character" w:customStyle="1" w:styleId="46">
    <w:name w:val="Heading 5 Char"/>
    <w:basedOn w:val="11"/>
    <w:link w:val="6"/>
    <w:semiHidden/>
    <w:uiPriority w:val="9"/>
    <w:rPr>
      <w:rFonts w:eastAsia="Times New Roman" w:cs="Times New Roman"/>
      <w:sz w:val="22"/>
      <w:szCs w:val="28"/>
      <w:lang w:eastAsia="en-US"/>
    </w:rPr>
  </w:style>
  <w:style w:type="character" w:customStyle="1" w:styleId="47">
    <w:name w:val="Heading 6 Char"/>
    <w:basedOn w:val="11"/>
    <w:link w:val="7"/>
    <w:semiHidden/>
    <w:uiPriority w:val="9"/>
    <w:rPr>
      <w:rFonts w:eastAsia="Times New Roman" w:cs="Times New Roman"/>
      <w:i/>
      <w:iCs/>
      <w:sz w:val="22"/>
      <w:szCs w:val="28"/>
      <w:lang w:eastAsia="en-US"/>
    </w:rPr>
  </w:style>
  <w:style w:type="character" w:customStyle="1" w:styleId="48">
    <w:name w:val="Heading 7 Char"/>
    <w:basedOn w:val="11"/>
    <w:link w:val="8"/>
    <w:uiPriority w:val="0"/>
    <w:rPr>
      <w:rFonts w:eastAsia="Times New Roman" w:cs="Times New Roman"/>
      <w:sz w:val="24"/>
      <w:szCs w:val="24"/>
      <w:lang w:eastAsia="en-US"/>
    </w:rPr>
  </w:style>
  <w:style w:type="character" w:customStyle="1" w:styleId="49">
    <w:name w:val="Heading 8 Char"/>
    <w:basedOn w:val="11"/>
    <w:link w:val="9"/>
    <w:uiPriority w:val="0"/>
    <w:rPr>
      <w:rFonts w:eastAsia="Times New Roman" w:cs="Times New Roman"/>
      <w:i/>
      <w:iCs/>
      <w:sz w:val="24"/>
      <w:szCs w:val="24"/>
      <w:lang w:eastAsia="en-US"/>
    </w:rPr>
  </w:style>
  <w:style w:type="character" w:customStyle="1" w:styleId="50">
    <w:name w:val="Heading 9 Char"/>
    <w:basedOn w:val="11"/>
    <w:link w:val="10"/>
    <w:uiPriority w:val="0"/>
    <w:rPr>
      <w:rFonts w:ascii="Arial" w:hAnsi="Arial" w:eastAsia="Times New Roman" w:cs="Arial"/>
      <w:sz w:val="22"/>
      <w:szCs w:val="28"/>
      <w:lang w:eastAsia="en-US"/>
    </w:rPr>
  </w:style>
  <w:style w:type="character" w:customStyle="1" w:styleId="51">
    <w:name w:val="Title Char"/>
    <w:basedOn w:val="11"/>
    <w:link w:val="28"/>
    <w:uiPriority w:val="10"/>
    <w:rPr>
      <w:rFonts w:ascii="Arial" w:hAnsi="Arial" w:eastAsia="Times New Roman" w:cs="Arial"/>
      <w:b/>
      <w:bCs/>
      <w:kern w:val="28"/>
      <w:sz w:val="32"/>
      <w:szCs w:val="32"/>
      <w:lang w:eastAsia="en-US"/>
    </w:rPr>
  </w:style>
  <w:style w:type="character" w:customStyle="1" w:styleId="52">
    <w:name w:val="Balloon Text Char"/>
    <w:basedOn w:val="11"/>
    <w:link w:val="13"/>
    <w:semiHidden/>
    <w:uiPriority w:val="0"/>
    <w:rPr>
      <w:rFonts w:ascii="Tahoma" w:hAnsi="Tahoma" w:eastAsia="Arial" w:cs="Tahoma"/>
      <w:sz w:val="16"/>
      <w:szCs w:val="16"/>
      <w:lang w:val="vi-VN" w:eastAsia="en-US"/>
    </w:rPr>
  </w:style>
  <w:style w:type="character" w:customStyle="1" w:styleId="53">
    <w:name w:val="Document Map Char"/>
    <w:basedOn w:val="11"/>
    <w:link w:val="19"/>
    <w:semiHidden/>
    <w:uiPriority w:val="99"/>
    <w:rPr>
      <w:rFonts w:ascii="Tahoma" w:hAnsi="Tahoma" w:eastAsia="Arial" w:cs="Tahoma"/>
      <w:sz w:val="16"/>
      <w:szCs w:val="16"/>
      <w:lang w:val="vi-VN" w:eastAsia="en-US"/>
    </w:rPr>
  </w:style>
  <w:style w:type="character" w:customStyle="1" w:styleId="54">
    <w:name w:val="Header Char"/>
    <w:basedOn w:val="11"/>
    <w:link w:val="21"/>
    <w:uiPriority w:val="99"/>
    <w:rPr>
      <w:rFonts w:eastAsia="Arial" w:cs="Times New Roman"/>
      <w:sz w:val="28"/>
      <w:szCs w:val="28"/>
      <w:lang w:val="vi-VN" w:eastAsia="en-US"/>
    </w:rPr>
  </w:style>
  <w:style w:type="character" w:customStyle="1" w:styleId="55">
    <w:name w:val="Footer Char"/>
    <w:basedOn w:val="11"/>
    <w:link w:val="20"/>
    <w:uiPriority w:val="99"/>
    <w:rPr>
      <w:rFonts w:eastAsia="Arial" w:cs="Times New Roman"/>
      <w:sz w:val="28"/>
      <w:szCs w:val="28"/>
      <w:lang w:val="vi-VN" w:eastAsia="en-US"/>
    </w:rPr>
  </w:style>
  <w:style w:type="paragraph" w:customStyle="1" w:styleId="56">
    <w:name w:val="noidung"/>
    <w:basedOn w:val="14"/>
    <w:uiPriority w:val="0"/>
    <w:pPr>
      <w:spacing w:before="120" w:after="0" w:line="312" w:lineRule="auto"/>
      <w:ind w:firstLine="720"/>
      <w:jc w:val="both"/>
    </w:pPr>
    <w:rPr>
      <w:sz w:val="26"/>
      <w:szCs w:val="28"/>
    </w:rPr>
  </w:style>
  <w:style w:type="character" w:customStyle="1" w:styleId="57">
    <w:name w:val="Body Text Char"/>
    <w:basedOn w:val="11"/>
    <w:link w:val="14"/>
    <w:uiPriority w:val="0"/>
    <w:rPr>
      <w:rFonts w:eastAsia="Times New Roman" w:cs="Times New Roman"/>
      <w:sz w:val="24"/>
      <w:szCs w:val="24"/>
      <w:lang w:eastAsia="en-US"/>
    </w:rPr>
  </w:style>
  <w:style w:type="character" w:customStyle="1" w:styleId="58">
    <w:name w:val="Heading 1 Char1"/>
    <w:uiPriority w:val="0"/>
    <w:rPr>
      <w:rFonts w:ascii="Arial" w:hAnsi="Arial" w:cs="Arial"/>
      <w:kern w:val="32"/>
      <w:sz w:val="26"/>
      <w:szCs w:val="26"/>
      <w:lang w:val="en-US" w:eastAsia="en-US" w:bidi="ar-SA"/>
    </w:rPr>
  </w:style>
  <w:style w:type="character" w:customStyle="1" w:styleId="59">
    <w:name w:val="Body Text 2 Char"/>
    <w:basedOn w:val="11"/>
    <w:link w:val="15"/>
    <w:uiPriority w:val="0"/>
    <w:rPr>
      <w:rFonts w:eastAsia="Times New Roman" w:cs="Times New Roman"/>
      <w:b/>
      <w:bCs/>
      <w:sz w:val="28"/>
      <w:szCs w:val="24"/>
      <w:lang w:val="vi-VN" w:eastAsia="en-US"/>
    </w:rPr>
  </w:style>
  <w:style w:type="paragraph" w:customStyle="1" w:styleId="60">
    <w:name w:val="Normal3"/>
    <w:basedOn w:val="1"/>
    <w:uiPriority w:val="0"/>
    <w:pPr>
      <w:jc w:val="both"/>
    </w:pPr>
    <w:rPr>
      <w:rFonts w:ascii=".VnTime" w:hAnsi=".VnTime"/>
      <w:szCs w:val="20"/>
    </w:rPr>
  </w:style>
  <w:style w:type="character" w:customStyle="1" w:styleId="61">
    <w:name w:val="HTML Preformatted Char"/>
    <w:basedOn w:val="11"/>
    <w:link w:val="22"/>
    <w:uiPriority w:val="0"/>
    <w:rPr>
      <w:rFonts w:ascii="Verdana" w:hAnsi="Verdana" w:eastAsia="Times New Roman" w:cs="Courier New"/>
      <w:color w:val="000000"/>
      <w:sz w:val="20"/>
      <w:szCs w:val="20"/>
      <w:lang w:eastAsia="en-US"/>
    </w:rPr>
  </w:style>
  <w:style w:type="paragraph" w:customStyle="1" w:styleId="62">
    <w:name w:val="Heading"/>
    <w:basedOn w:val="1"/>
    <w:next w:val="14"/>
    <w:uiPriority w:val="0"/>
    <w:pPr>
      <w:keepNext/>
      <w:suppressAutoHyphens/>
      <w:spacing w:before="240" w:after="120"/>
      <w:jc w:val="both"/>
    </w:pPr>
    <w:rPr>
      <w:rFonts w:ascii="Arial" w:hAnsi="Arial" w:eastAsia="DejaVu Sans" w:cs="DejaVu Sans"/>
      <w:sz w:val="28"/>
      <w:szCs w:val="28"/>
      <w:lang w:eastAsia="ar-SA"/>
    </w:rPr>
  </w:style>
  <w:style w:type="paragraph" w:customStyle="1" w:styleId="63">
    <w:name w:val="2"/>
    <w:basedOn w:val="28"/>
    <w:next w:val="28"/>
    <w:semiHidden/>
    <w:uiPriority w:val="0"/>
    <w:pPr>
      <w:spacing w:after="160" w:line="240" w:lineRule="exact"/>
      <w:jc w:val="left"/>
    </w:pPr>
    <w:rPr>
      <w:sz w:val="22"/>
      <w:szCs w:val="22"/>
    </w:rPr>
  </w:style>
  <w:style w:type="paragraph" w:customStyle="1" w:styleId="64">
    <w:name w:val="Char"/>
    <w:basedOn w:val="28"/>
    <w:next w:val="28"/>
    <w:semiHidden/>
    <w:uiPriority w:val="0"/>
    <w:pPr>
      <w:spacing w:after="160" w:line="240" w:lineRule="exact"/>
      <w:jc w:val="left"/>
    </w:pPr>
    <w:rPr>
      <w:sz w:val="22"/>
      <w:szCs w:val="22"/>
    </w:rPr>
  </w:style>
  <w:style w:type="table" w:customStyle="1" w:styleId="65">
    <w:name w:val="Table Grid1"/>
    <w:basedOn w:val="12"/>
    <w:uiPriority w:val="0"/>
    <w:pPr>
      <w:spacing w:after="0" w:line="240" w:lineRule="auto"/>
      <w:ind w:firstLine="720"/>
      <w:jc w:val="both"/>
    </w:pPr>
    <w:rPr>
      <w:rFonts w:eastAsia="Times New Roman" w:cs="Times New Roman"/>
      <w:sz w:val="20"/>
      <w:szCs w:val="20"/>
      <w:lang w:val="vi-VN" w:eastAsia="vi-V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66">
    <w:name w:val="Tieu de"/>
    <w:basedOn w:val="2"/>
    <w:link w:val="68"/>
    <w:qFormat/>
    <w:uiPriority w:val="0"/>
    <w:pPr>
      <w:spacing w:before="0" w:after="240" w:line="240" w:lineRule="auto"/>
      <w:jc w:val="center"/>
    </w:pPr>
    <w:rPr>
      <w:rFonts w:eastAsia="Times New Roman" w:cs="Times New Roman"/>
      <w:bCs/>
      <w:sz w:val="26"/>
      <w:szCs w:val="28"/>
      <w:lang w:eastAsia="en-US"/>
    </w:rPr>
  </w:style>
  <w:style w:type="paragraph" w:customStyle="1" w:styleId="67">
    <w:name w:val="Tieu de 1"/>
    <w:basedOn w:val="3"/>
    <w:link w:val="70"/>
    <w:qFormat/>
    <w:uiPriority w:val="0"/>
    <w:pPr>
      <w:numPr>
        <w:ilvl w:val="0"/>
        <w:numId w:val="1"/>
      </w:numPr>
      <w:spacing w:before="360" w:after="120" w:line="240" w:lineRule="auto"/>
      <w:jc w:val="both"/>
    </w:pPr>
    <w:rPr>
      <w:rFonts w:eastAsia="Times New Roman" w:cs="Times New Roman"/>
      <w:bCs/>
      <w:sz w:val="28"/>
      <w:lang w:val="vi-VN" w:eastAsia="en-US"/>
    </w:rPr>
  </w:style>
  <w:style w:type="character" w:customStyle="1" w:styleId="68">
    <w:name w:val="Tieu de Char"/>
    <w:link w:val="66"/>
    <w:uiPriority w:val="0"/>
    <w:rPr>
      <w:rFonts w:eastAsia="Times New Roman" w:cs="Times New Roman"/>
      <w:b/>
      <w:bCs/>
      <w:szCs w:val="28"/>
      <w:lang w:eastAsia="en-US"/>
    </w:rPr>
  </w:style>
  <w:style w:type="paragraph" w:customStyle="1" w:styleId="69">
    <w:name w:val="Tieu de 2"/>
    <w:basedOn w:val="1"/>
    <w:link w:val="72"/>
    <w:qFormat/>
    <w:uiPriority w:val="0"/>
    <w:pPr>
      <w:spacing w:after="120"/>
      <w:ind w:firstLine="720"/>
      <w:jc w:val="center"/>
    </w:pPr>
    <w:rPr>
      <w:rFonts w:eastAsia="Arial"/>
      <w:b/>
      <w:sz w:val="32"/>
      <w:szCs w:val="28"/>
      <w:lang w:val="vi-VN" w:eastAsia="vi-VN"/>
    </w:rPr>
  </w:style>
  <w:style w:type="character" w:customStyle="1" w:styleId="70">
    <w:name w:val="Tieu de 1 Char"/>
    <w:link w:val="67"/>
    <w:uiPriority w:val="0"/>
    <w:rPr>
      <w:rFonts w:eastAsia="Times New Roman" w:cs="Times New Roman"/>
      <w:b/>
      <w:bCs/>
      <w:sz w:val="28"/>
      <w:szCs w:val="26"/>
      <w:lang w:val="vi-VN" w:eastAsia="en-US"/>
    </w:rPr>
  </w:style>
  <w:style w:type="paragraph" w:customStyle="1" w:styleId="71">
    <w:name w:val="1"/>
    <w:basedOn w:val="28"/>
    <w:next w:val="28"/>
    <w:semiHidden/>
    <w:uiPriority w:val="0"/>
    <w:pPr>
      <w:spacing w:after="160" w:line="240" w:lineRule="exact"/>
      <w:jc w:val="left"/>
    </w:pPr>
    <w:rPr>
      <w:sz w:val="22"/>
      <w:szCs w:val="22"/>
    </w:rPr>
  </w:style>
  <w:style w:type="character" w:customStyle="1" w:styleId="72">
    <w:name w:val="Tieu de 2 Char"/>
    <w:link w:val="69"/>
    <w:uiPriority w:val="0"/>
    <w:rPr>
      <w:rFonts w:eastAsia="Arial" w:cs="Times New Roman"/>
      <w:b/>
      <w:sz w:val="32"/>
      <w:szCs w:val="28"/>
      <w:lang w:val="vi-VN" w:eastAsia="vi-VN"/>
    </w:rPr>
  </w:style>
  <w:style w:type="character" w:customStyle="1" w:styleId="73">
    <w:name w:val="Subtitle Char"/>
    <w:basedOn w:val="11"/>
    <w:link w:val="26"/>
    <w:uiPriority w:val="11"/>
    <w:rPr>
      <w:rFonts w:ascii="Georgia" w:hAnsi="Georgia" w:eastAsia="Georgia" w:cs="Georgia"/>
      <w:i/>
      <w:color w:val="666666"/>
      <w:sz w:val="48"/>
      <w:szCs w:val="48"/>
      <w:lang w:val="vi-VN" w:eastAsia="en-US"/>
    </w:rPr>
  </w:style>
  <w:style w:type="character" w:customStyle="1" w:styleId="74">
    <w:name w:val="Comment Text Char"/>
    <w:basedOn w:val="11"/>
    <w:link w:val="17"/>
    <w:semiHidden/>
    <w:uiPriority w:val="99"/>
    <w:rPr>
      <w:rFonts w:eastAsia="Times New Roman" w:cs="Times New Roman"/>
      <w:sz w:val="20"/>
      <w:szCs w:val="20"/>
      <w:lang w:eastAsia="en-US"/>
    </w:rPr>
  </w:style>
  <w:style w:type="character" w:customStyle="1" w:styleId="75">
    <w:name w:val="Comment Subject Char"/>
    <w:basedOn w:val="74"/>
    <w:link w:val="18"/>
    <w:semiHidden/>
    <w:uiPriority w:val="99"/>
    <w:rPr>
      <w:rFonts w:eastAsia="Times New Roman" w:cs="Times New Roman"/>
      <w:b/>
      <w:bCs/>
      <w:sz w:val="20"/>
      <w:szCs w:val="20"/>
      <w:lang w:eastAsia="en-US"/>
    </w:rPr>
  </w:style>
  <w:style w:type="character" w:customStyle="1" w:styleId="76">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TRƯỜNG ĐẠI HỌC CÔNG NGHỆ</Company>
  <Pages>1</Pages>
  <Words>8920</Words>
  <Characters>50850</Characters>
  <Lines>423</Lines>
  <Paragraphs>119</Paragraphs>
  <TotalTime>567</TotalTime>
  <ScaleCrop>false</ScaleCrop>
  <LinksUpToDate>false</LinksUpToDate>
  <CharactersWithSpaces>59651</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2020-08-06T10:41:00Z</dcterms:created>
  <dc:creator>Admin</dc:creator>
  <cp:lastModifiedBy>hoangdao</cp:lastModifiedBy>
  <dcterms:modified xsi:type="dcterms:W3CDTF">2023-07-28T23:11:27Z</dcterms:modified>
  <dc:subject>HỌC KỲ I NĂM HỌC 2021-2022</dc:subject>
  <dc:title>SỔ TAY HỌC VỤ</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