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viên đăng ký 14 tín chỉ trở lên mới được xét học bổng khuyến khích học tập. Trường hợp sinh viên có nguyện vọng đăng ký học ít hơn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số tín chỉ tối thiểu trong một học kỳ phải được sự đồng ý của Thủ trưởng đơn vị đào tạo.</w:t>
      </w:r>
    </w:p>
    <w:p>
      <w:pPr>
        <w:autoSpaceDN w:val="0"/>
        <w:autoSpaceDE w:val="0"/>
        <w:widowControl/>
        <w:spacing w:line="266" w:lineRule="exact" w:before="1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Học kỳ phụ: không bắt buộc, sinh viên đăng ký học theo nguyện vọng.</w:t>
      </w:r>
    </w:p>
    <w:p>
      <w:pPr>
        <w:autoSpaceDN w:val="0"/>
        <w:tabs>
          <w:tab w:pos="708" w:val="left"/>
        </w:tabs>
        <w:autoSpaceDE w:val="0"/>
        <w:widowControl/>
        <w:spacing w:line="276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Sinh viên thuộc diện cảnh báo học vụ: tổng số tín chỉ đăng ký học (tối thiểu, tối đa) sẽ do Khoa và Phòng Đào tạo tư vấn và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quy định cụ thể đối với từng trường hợp.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86" w:lineRule="exact" w:before="58" w:after="0"/>
        <w:ind w:left="0" w:right="0" w:firstLine="0"/>
        <w:jc w:val="left"/>
      </w:pPr>
      <w:r>
        <w:tab/>
      </w:r>
      <w:r>
        <w:rPr>
          <w:rFonts w:ascii="DejaVuSans" w:hAnsi="DejaVuSans" w:eastAsia="DejaVuSans"/>
          <w:b/>
          <w:i w:val="0"/>
          <w:color w:val="000000"/>
          <w:sz w:val="26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Đăng ký học phần </w:t>
      </w:r>
      <w:r>
        <w:br/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Chú ý: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Đầu khóa học Nhà trường sẽ cung cấp cho sinh viên chương trình đào tạo ngành học, quy chế đào tạo và bố trí Cố vấn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học tập. Sinh viên liên hệ với Cố vấn học tập để xây dựng kế hoạch học tập toàn khóa (Mẫu 3) và nộp lại cho Phòng Đào tạo.</w:t>
      </w:r>
    </w:p>
    <w:p>
      <w:pPr>
        <w:autoSpaceDN w:val="0"/>
        <w:autoSpaceDE w:val="0"/>
        <w:widowControl/>
        <w:spacing w:line="276" w:lineRule="exact" w:before="0" w:after="0"/>
        <w:ind w:left="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Bước 1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Đầu mỗi học kỳ, sinh viên căn cứ vào kế hoạch học tập của mình cùng với tư vấn của CVHT và thời khóa biểu do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trường công bố để đăng ký lớp học phần trực tuyến theo kế hoạch chung của Nhà trường. Nếu sinh viên không đăng ký học nhà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trường xem như sinh viên đã bỏ học ở học kỳ đó. (Chú ý: sinh viên mới trúng tuyển, không phải đăng ký lớp học phần cho học kỳ đầu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tiên của khóa học, các học phần của học kỳ này sẽ do Nhà trường bố trí).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Bước 2: P.ĐT công bố kết quả đăng ký học học kỳ I năm học 2021-2022 của sinh viên trên Website, sinh viên có trách nhiệm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kiểm tra tổng số tín chỉ đã đăng ký, tên của sinh viên trong Danh sách lớp môn học đã đăng ký và loại môn học. Yêu cầu sinh viên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kiểm tra kết quả đăng ký học của mình, nếu có vướng mắc gì sinh viên liên hệ với P.ĐT để được hỗ trợ giải quyết (điều kiện để được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mở lớp: sĩ số đăng ký &gt;= 20 sinh viên)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Bước 3: Sinh viên đi học theo kết quả đăng ký học đã được P.ĐT thông báo. Trong hai tuần đầu học kỳ, nếu có phát sinh gì SV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nộp đơn điều chỉnh đăng ký học tại P.ĐT (P.105-E3) hoặc qua email</w:t>
      </w:r>
      <w:r>
        <w:rPr>
          <w:rFonts w:ascii="TimesNewRomanPSMT" w:hAnsi="TimesNewRomanPSMT" w:eastAsia="TimesNewRomanPSMT"/>
          <w:b w:val="0"/>
          <w:i w:val="0"/>
          <w:color w:val="0562C1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562C1"/>
          <w:sz w:val="24"/>
          <w:u w:val="single"/>
        </w:rPr>
        <w:hyperlink r:id="rId9" w:history="1">
          <w:r>
            <w:rPr>
              <w:rStyle w:val="Hyperlink"/>
            </w:rPr>
            <w:t>daotao_dhcn@vnu.edu.vn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(lưu ý sinh viên bắt buộc dùng email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cá nhân do Nhà trường cung cấp) để được xem xét giải quyết./.</w:t>
      </w:r>
    </w:p>
    <w:p>
      <w:pPr>
        <w:autoSpaceDN w:val="0"/>
        <w:autoSpaceDE w:val="0"/>
        <w:widowControl/>
        <w:spacing w:line="266" w:lineRule="exact" w:before="1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Khi gặp khó khăn về đăng ký học sinh viên có thể liên hệ trực tiếp với Phòng Đào tạo theo số ĐT: 024.37547865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80" w:lineRule="exact" w:before="64" w:after="0"/>
        <w:ind w:left="0" w:right="0" w:firstLine="0"/>
        <w:jc w:val="left"/>
      </w:pPr>
      <w:r>
        <w:tab/>
      </w:r>
      <w:r>
        <w:rPr>
          <w:rFonts w:ascii="DejaVuSans" w:hAnsi="DejaVuSans" w:eastAsia="DejaVuSans"/>
          <w:b/>
          <w:i w:val="0"/>
          <w:color w:val="000000"/>
          <w:sz w:val="26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Một số lưu ý khi đăng ký học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Thời gian của khóa học đào tạo chính quy theo chương trình đào tạo chuẩn, chất lượng cao tương ứng là 8 học kỳ chính đối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với đào tạo cử nhân, 9 học kỳ chính đối với đào tạo kỹ sư. Thời gian được phép tạm ngừng học để củng cố kiến thức, cải thiện kết quả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học tập là 4 học kỳ chính, do đó sinh viên cần phải tính toán, lập kế hoạch để hoàn thiện được chương trình đào tạo trong thời gian của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khóa học.</w:t>
      </w:r>
    </w:p>
    <w:p>
      <w:pPr>
        <w:autoSpaceDN w:val="0"/>
        <w:tabs>
          <w:tab w:pos="1080" w:val="left"/>
        </w:tabs>
        <w:autoSpaceDE w:val="0"/>
        <w:widowControl/>
        <w:spacing w:line="278" w:lineRule="exact" w:before="0" w:after="0"/>
        <w:ind w:left="720" w:right="302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- Trước khi đăng ký học phần chính thức, sinh viên cần kiểm tra thật cẩn thận các thông tin sau:</w:t>
      </w:r>
      <w:r>
        <w:tab/>
      </w:r>
      <w:r>
        <w:rPr>
          <w:rFonts w:ascii="DejaVuSans" w:hAnsi="DejaVuSans" w:eastAsia="DejaVuSans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Ngày giờ đăng ký và thời hạn chót để đăng ký;</w:t>
      </w:r>
    </w:p>
    <w:p>
      <w:pPr>
        <w:autoSpaceDN w:val="0"/>
        <w:autoSpaceDE w:val="0"/>
        <w:widowControl/>
        <w:spacing w:line="280" w:lineRule="exact" w:before="116" w:after="0"/>
        <w:ind w:left="108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Tên và mã số học phần, lớp học phần;</w:t>
      </w:r>
    </w:p>
    <w:p>
      <w:pPr>
        <w:autoSpaceDN w:val="0"/>
        <w:autoSpaceDE w:val="0"/>
        <w:widowControl/>
        <w:spacing w:line="280" w:lineRule="exact" w:before="116" w:after="0"/>
        <w:ind w:left="108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Điều kiện tiên quyết của học phần có được bảo đảm hay không.</w:t>
      </w:r>
    </w:p>
    <w:p>
      <w:pPr>
        <w:autoSpaceDN w:val="0"/>
        <w:autoSpaceDE w:val="0"/>
        <w:widowControl/>
        <w:spacing w:line="280" w:lineRule="exact" w:before="116" w:after="0"/>
        <w:ind w:left="108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Các lớp học phần có bị trùng lặp về thời gian học không.</w:t>
      </w:r>
    </w:p>
    <w:p>
      <w:pPr>
        <w:autoSpaceDN w:val="0"/>
        <w:autoSpaceDE w:val="0"/>
        <w:widowControl/>
        <w:spacing w:line="280" w:lineRule="exact" w:before="116" w:after="0"/>
        <w:ind w:left="108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Có bảo đảm khối lượng học tập tối thiểu (hoặc tối đa) hay không.</w:t>
      </w:r>
    </w:p>
    <w:p>
      <w:pPr>
        <w:sectPr>
          <w:pgSz w:w="15840" w:h="12240"/>
          <w:pgMar w:top="724" w:right="1420" w:bottom="792" w:left="1440" w:header="720" w:footer="720" w:gutter="0"/>
          <w:cols w:space="720" w:num="1" w:equalWidth="0">
            <w:col w:w="129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270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Trong 2 tuần đầu của học kỳ chính, sinh viên được phép đăng ký những học phần muốn học thêm hoặc đăng ký đổi sang lớp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học phần khác.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Ngoài thời hạn trên, học phần vẫn được giữ nguyên, nếu sinh viên không học sẽ phải nhận điểm F và không được trả lại học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phí.</w:t>
      </w:r>
    </w:p>
    <w:p>
      <w:pPr>
        <w:autoSpaceDN w:val="0"/>
        <w:autoSpaceDE w:val="0"/>
        <w:widowControl/>
        <w:spacing w:line="276" w:lineRule="exact" w:before="0" w:after="0"/>
        <w:ind w:left="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Phần giảng dạy lý thuyết được tổ chức tại giảng đường, phòng học theo công bố trên Thời khóa biểu. Mỗi lớp từ 20 đến 300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sinh viên. Các nhóm bài tập/thực hành/thực tập mỗi nhóm từ 20 đến 40 sinh viên. Nếu vì lý do khách quan như sĩ số sinh viên các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chuyên ngành ít, do chương trình đào tạo cập nhật thay đổi…. không thể thực hiện theo đúng quy định này, Phòng Đào tạo phải báo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cáo Hiệu trưởng đối với từng trường hợp cụ thể để xem xét giải quyết. Trường hợp các lớp học phần không đủ sĩ số sinh viên để mở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lớp, Phòng đào tạo sẽ ra thông báo hủy học phần của những sinh viên đã đăng ký. Sinh viên có trách nhiệm liên hệ với Phòng Đào tạo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để đăng ký lại học phần theo thời gian Phòng Đào tạo quy định trong thông báo.</w:t>
      </w:r>
    </w:p>
    <w:p>
      <w:pPr>
        <w:autoSpaceDN w:val="0"/>
        <w:autoSpaceDE w:val="0"/>
        <w:widowControl/>
        <w:spacing w:line="276" w:lineRule="exact" w:before="0" w:after="0"/>
        <w:ind w:left="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Đối với môn Giáo dục thể chất: sinh viên phải học đủ 4 tín chỉ bố trí đều thành 4 học phần và mỗi SV chỉ được đăng ký học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một học phần trong một học kỳ. Nếu cố tình đăng ký 2 học phần sẽ bị hủy 01 học phần và không công nhận kết quả học tập của học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phần thứ hai.</w:t>
      </w:r>
    </w:p>
    <w:p>
      <w:pPr>
        <w:autoSpaceDN w:val="0"/>
        <w:autoSpaceDE w:val="0"/>
        <w:widowControl/>
        <w:spacing w:line="266" w:lineRule="exact" w:before="1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Địa điểm học: Sân vận động đa năng đại học Ngoại ngữ - ĐHQG Hà Nội.</w:t>
      </w:r>
    </w:p>
    <w:p>
      <w:pPr>
        <w:sectPr>
          <w:pgSz w:w="15840" w:h="12240"/>
          <w:pgMar w:top="724" w:right="1420" w:bottom="1440" w:left="1440" w:header="720" w:footer="720" w:gutter="0"/>
          <w:cols w:space="720" w:num="1" w:equalWidth="0">
            <w:col w:w="12980" w:space="0"/>
            <w:col w:w="129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354" w:lineRule="exact" w:before="0" w:after="39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>THỜI GIAN HỌC TẬP VÀ GIẢNG DẠY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08.0" w:type="dxa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hRule="exact" w:val="366"/>
        </w:trPr>
        <w:tc>
          <w:tcPr>
            <w:tcW w:type="dxa" w:w="3396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SÁNG</w:t>
            </w:r>
          </w:p>
        </w:tc>
        <w:tc>
          <w:tcPr>
            <w:tcW w:type="dxa" w:w="3404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CHIỀU</w:t>
            </w:r>
          </w:p>
        </w:tc>
        <w:tc>
          <w:tcPr>
            <w:tcW w:type="dxa" w:w="354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TỐI</w:t>
            </w:r>
          </w:p>
        </w:tc>
      </w:tr>
      <w:tr>
        <w:trPr>
          <w:trHeight w:hRule="exact" w:val="366"/>
        </w:trPr>
        <w:tc>
          <w:tcPr>
            <w:tcW w:type="dxa" w:w="7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Tiết</w:t>
            </w:r>
          </w:p>
        </w:tc>
        <w:tc>
          <w:tcPr>
            <w:tcW w:type="dxa" w:w="1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Thời gian học</w:t>
            </w:r>
          </w:p>
        </w:tc>
        <w:tc>
          <w:tcPr>
            <w:tcW w:type="dxa" w:w="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Nghỉ</w:t>
            </w:r>
          </w:p>
        </w:tc>
        <w:tc>
          <w:tcPr>
            <w:tcW w:type="dxa" w:w="7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Tiết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Thời gian học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Nghỉ</w:t>
            </w:r>
          </w:p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Tiết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Thời gian học</w:t>
            </w:r>
          </w:p>
        </w:tc>
        <w:tc>
          <w:tcPr>
            <w:tcW w:type="dxa" w:w="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Nghỉ</w:t>
            </w:r>
          </w:p>
        </w:tc>
      </w:tr>
      <w:tr>
        <w:trPr>
          <w:trHeight w:hRule="exact" w:val="366"/>
        </w:trPr>
        <w:tc>
          <w:tcPr>
            <w:tcW w:type="dxa" w:w="7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1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07h00’ ÷ 07h50’</w:t>
            </w:r>
          </w:p>
        </w:tc>
        <w:tc>
          <w:tcPr>
            <w:tcW w:type="dxa" w:w="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10’</w:t>
            </w:r>
          </w:p>
        </w:tc>
        <w:tc>
          <w:tcPr>
            <w:tcW w:type="dxa" w:w="7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13h00’ ÷ 13h50’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10’</w:t>
            </w:r>
          </w:p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13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19h00’ ÷ 19h50’</w:t>
            </w:r>
          </w:p>
        </w:tc>
        <w:tc>
          <w:tcPr>
            <w:tcW w:type="dxa" w:w="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10’</w:t>
            </w:r>
          </w:p>
        </w:tc>
      </w:tr>
      <w:tr>
        <w:trPr>
          <w:trHeight w:hRule="exact" w:val="366"/>
        </w:trPr>
        <w:tc>
          <w:tcPr>
            <w:tcW w:type="dxa" w:w="7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1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08h00’ ÷ 08h50’</w:t>
            </w:r>
          </w:p>
        </w:tc>
        <w:tc>
          <w:tcPr>
            <w:tcW w:type="dxa" w:w="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10’</w:t>
            </w:r>
          </w:p>
        </w:tc>
        <w:tc>
          <w:tcPr>
            <w:tcW w:type="dxa" w:w="7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14h00’ ÷ 14h50’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10’</w:t>
            </w:r>
          </w:p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14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20h00’ ÷ 20h50’</w:t>
            </w:r>
          </w:p>
        </w:tc>
        <w:tc>
          <w:tcPr>
            <w:tcW w:type="dxa" w:w="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6"/>
        </w:trPr>
        <w:tc>
          <w:tcPr>
            <w:tcW w:type="dxa" w:w="7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1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09h00’ ÷ 09h50’</w:t>
            </w:r>
          </w:p>
        </w:tc>
        <w:tc>
          <w:tcPr>
            <w:tcW w:type="dxa" w:w="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10’</w:t>
            </w:r>
          </w:p>
        </w:tc>
        <w:tc>
          <w:tcPr>
            <w:tcW w:type="dxa" w:w="7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9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15h00’ ÷ 15h50’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10’</w:t>
            </w:r>
          </w:p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6"/>
        </w:trPr>
        <w:tc>
          <w:tcPr>
            <w:tcW w:type="dxa" w:w="7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10h00’ ÷ 10h50’</w:t>
            </w:r>
          </w:p>
        </w:tc>
        <w:tc>
          <w:tcPr>
            <w:tcW w:type="dxa" w:w="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10’</w:t>
            </w:r>
          </w:p>
        </w:tc>
        <w:tc>
          <w:tcPr>
            <w:tcW w:type="dxa" w:w="7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16h00’ ÷ 16h50’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10’</w:t>
            </w:r>
          </w:p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6"/>
        </w:trPr>
        <w:tc>
          <w:tcPr>
            <w:tcW w:type="dxa" w:w="7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1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11h00’ ÷ 11h50’</w:t>
            </w:r>
          </w:p>
        </w:tc>
        <w:tc>
          <w:tcPr>
            <w:tcW w:type="dxa" w:w="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10’</w:t>
            </w:r>
          </w:p>
        </w:tc>
        <w:tc>
          <w:tcPr>
            <w:tcW w:type="dxa" w:w="7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11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17h00’ ÷ 17h50’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10’</w:t>
            </w:r>
          </w:p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6"/>
        </w:trPr>
        <w:tc>
          <w:tcPr>
            <w:tcW w:type="dxa" w:w="7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1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13h00’ ÷ 13h50’</w:t>
            </w:r>
          </w:p>
        </w:tc>
        <w:tc>
          <w:tcPr>
            <w:tcW w:type="dxa" w:w="84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10’</w:t>
            </w:r>
          </w:p>
        </w:tc>
        <w:tc>
          <w:tcPr>
            <w:tcW w:type="dxa" w:w="7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12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18h00’ ÷ 18h50’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10’</w:t>
            </w:r>
          </w:p>
        </w:tc>
        <w:tc>
          <w:tcPr>
            <w:tcW w:type="dxa" w:w="7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6" w:lineRule="exact" w:before="130" w:after="0"/>
        <w:ind w:left="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Ghi chú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: Áp dụng thống nhất đối với cả giờ học tại giảng đường, tại phòng máy tính, phòng thí nghiệm.</w:t>
      </w:r>
    </w:p>
    <w:sectPr w:rsidR="00FC693F" w:rsidRPr="0006063C" w:rsidSect="00034616">
      <w:pgSz w:w="15840" w:h="12240"/>
      <w:pgMar w:top="726" w:right="1440" w:bottom="1440" w:left="1440" w:header="720" w:footer="720" w:gutter="0"/>
      <w:cols w:space="720" w:num="1" w:equalWidth="0">
        <w:col w:w="12960" w:space="0"/>
        <w:col w:w="12980" w:space="0"/>
        <w:col w:w="129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daotao_dhcn@vn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