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Low-Cost Trajectory Tracking Control for Differential-Drive Mobile Robot Using Backstepping Sliding Mode Control with ESP-NOW Communication Protocol</w:t>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uthor"/>
        <w:rPr/>
      </w:pPr>
      <w:r>
        <w:rPr/>
        <w:t>[Author Name]</w:t>
      </w:r>
      <w:r>
        <w:rPr>
          <w:vertAlign w:val="superscript"/>
        </w:rPr>
        <w:t>1</w:t>
      </w:r>
    </w:p>
    <w:p>
      <w:pPr>
        <w:pStyle w:val="Affiliation"/>
        <w:rPr/>
      </w:pPr>
      <w:r>
        <w:rPr>
          <w:i/>
          <w:iCs/>
        </w:rPr>
        <w:t>[Department / Faculty]</w:t>
      </w:r>
      <w:r>
        <w:rPr/>
        <w:br/>
      </w:r>
      <w:r>
        <w:rPr>
          <w:i/>
          <w:iCs/>
        </w:rPr>
        <w:t>[University Name], [City], Vietnam</w:t>
      </w:r>
      <w:r>
        <w:rPr/>
        <w:br/>
        <w:t>[email@domain.edu.vn]</w:t>
      </w:r>
    </w:p>
    <w:p>
      <w:pPr>
        <w:pStyle w:val="Author"/>
        <w:rPr/>
      </w:pPr>
      <w:r>
        <w:rPr/>
        <w:t>[Advisor Name]</w:t>
      </w:r>
      <w:r>
        <w:rPr>
          <w:vertAlign w:val="superscript"/>
        </w:rPr>
        <w:t>2</w:t>
      </w:r>
    </w:p>
    <w:p>
      <w:pPr>
        <w:pStyle w:val="Affiliation"/>
        <w:rPr/>
      </w:pPr>
      <w:r>
        <w:rPr>
          <w:i/>
          <w:iCs/>
        </w:rPr>
        <w:t>[Department / Faculty]</w:t>
      </w:r>
      <w:r>
        <w:rPr/>
        <w:br/>
      </w:r>
      <w:r>
        <w:rPr>
          <w:i/>
          <w:iCs/>
        </w:rPr>
        <w:t>[University Name], [City], Vietnam</w:t>
      </w:r>
      <w:r>
        <w:rPr/>
        <w:br/>
        <w:t>[email@domain.edu.vn]</w:t>
      </w:r>
    </w:p>
    <w:p>
      <w:pPr>
        <w:sectPr>
          <w:type w:val="continuous"/>
          <w:pgSz w:w="11906" w:h="16838"/>
          <w:pgMar w:left="893" w:right="893" w:gutter="0" w:header="0" w:top="540" w:footer="720" w:bottom="1440"/>
          <w:formProt w:val="false"/>
          <w:titlePg/>
          <w:textDirection w:val="lrTb"/>
          <w:docGrid w:type="default" w:linePitch="360" w:charSpace="8192"/>
        </w:sectPr>
      </w:pPr>
    </w:p>
    <w:p>
      <w:pPr>
        <w:pStyle w:val="Abstract"/>
        <w:rPr/>
      </w:pPr>
      <w:r>
        <w:rPr>
          <w:i/>
          <w:iCs/>
        </w:rPr>
        <w:t>Abstract</w:t>
      </w:r>
      <w:r>
        <w:rPr/>
        <w:t>—This paper presents a low-cost trajectory tracking control system for a differential-drive mobile robot (DDMR) that combines a Backstepping Sliding Mode Control (BSMC) law with an ESP-NOW wireless communication link. The controller builds on the classical Kanayama kinematic tracking law and is augmented with a sliding-mode term that provides robustness against unmodeled dynamics, wheel-actuator imperfections, and sensor noise. Two coupled sliding surfaces are defined to relate the longitudinal, lateral, and heading tracking errors, and a continuous saturation function is used in place of a discontinuous switching term to mitigate chattering. We further identify and discuss a subtle, easily overlooked formula-to-implementation consistency issue in which a constant nominal desired velocity can be mistakenly substituted for the genuinely time-varying desired velocity profile inside the angular-velocity control law, and we analyze its effect on the underlying Lyapunov stability guarantee. The controller is implemented on a low-cost embedded platform consisting of an STM32 microcontroller for motor-level control, an ESP32 module running the ESP-NOW protocol for low-latency wireless telemetry and command exchange, and a ROS2-based supervisory layer with extended Kalman filter (EKF) state estimation. Simulation in MATLAB/Simulink and hardware experiments on a circular reference trajectory are used to evaluate tracking accuracy, convergence behavior, and the maximum achievable tracking speed of the platform [quantitative results to be inserted]. The results indicate that accurate, robust trajectory tracking is achievable on consumer-grade embedded hardware at a fraction of the cost of commercial AGV controllers.</w:t>
      </w:r>
    </w:p>
    <w:p>
      <w:pPr>
        <w:pStyle w:val="Keywords"/>
        <w:rPr/>
      </w:pPr>
      <w:r>
        <w:rPr>
          <w:i/>
          <w:iCs/>
        </w:rPr>
        <w:t>Keywords—differential-drive mobile robot; trajectory tracking control; backstepping sliding mode control; ESP-NOW; low-cost embedded systems; ROS2; extended Kalman filter</w:t>
      </w:r>
    </w:p>
    <w:p>
      <w:pPr>
        <w:pStyle w:val="Heading1"/>
        <w:ind w:hanging="0"/>
        <w:rPr/>
      </w:pPr>
      <w:r>
        <w:rPr/>
        <w:t>Introduction</w:t>
      </w:r>
    </w:p>
    <w:p>
      <w:pPr>
        <w:pStyle w:val="BodyText"/>
        <w:rPr/>
      </w:pPr>
      <w:r>
        <w:rPr/>
        <w:t>Differential-drive mobile robots (DDMRs) are widely used in automated guided vehicles (AGVs), warehouse logistics, and service robotics because of their simple actuation, low mechanical cost, and good maneuverability. Despite this simplicity, accurate trajectory tracking remains challenging: a DDMR is a nonholonomic system that cannot instantaneously move in an arbitrary direction, and its performance is sensitive to wheel-actuator imperfections, parameter uncertainty, and external disturbances, all of which are more pronounced on low-cost hardware than on industrial-grade platforms.</w:t>
      </w:r>
    </w:p>
    <w:p>
      <w:pPr>
        <w:pStyle w:val="BodyText"/>
        <w:rPr/>
      </w:pPr>
      <w:r>
        <w:rPr/>
        <w:t xml:space="preserve">The classical kinematic tracking law of Kanayama </w:t>
      </w:r>
      <w:r>
        <w:rPr>
          <w:i/>
          <w:iCs/>
        </w:rPr>
        <w:t>et al.</w:t>
      </w:r>
      <w:r>
        <w:rPr/>
        <w:t xml:space="preserve"> [1] provides a globally stable result for the nominal kinematic model and is the structural basis of many subsequent controllers. However, it assumes that the commanded linear and angular velocities are tracked perfectly by the underlying actuators, an assumption that rarely holds in practice. Backstepping techniques extend kinematic control laws to the dynamic level by treating the kinematic controller output as a virtual control input for an outer dynamic-level loop [2], [5], while sliding mode control (SMC) is a well-established way to obtain robustness against bounded model uncertainty and disturbances [3], [4]. The discontinuous switching term at the core of classical SMC, however, induces high-frequency chattering that must be mitigated, typically through a boundary-layer or saturation-based approximation.</w:t>
      </w:r>
    </w:p>
    <w:p>
      <w:pPr>
        <w:pStyle w:val="BodyText"/>
        <w:rPr/>
      </w:pPr>
      <w:r>
        <w:rPr/>
        <w:t>Beyond backstepping and sliding mode control, adaptive and fuzzy-logic-based controllers have also been proposed to handle parametric uncertainty in DDMR trajectory tracking. Such methods can offer strong robustness to unmodeled or slowly varying parameters, but typically require online parameter estimation or rule-base evaluation at every control cycle, which is a less natural fit for the resource-constrained, low-cost microcontroller targeted in this work than the comparatively lightweight algebraic control law obtained from backstepping and sliding mode design.</w:t>
      </w:r>
    </w:p>
    <w:p>
      <w:pPr>
        <w:pStyle w:val="BodyText"/>
        <w:rPr/>
      </w:pPr>
      <w:r>
        <w:rPr/>
        <w:t>This paper combines both ideas into a Backstepping Sliding Mode Control (BSMC) law: the Kanayama law supplies the nominal, backstepping-consistent kinematic control action, while a sliding-mode correction term, built from two coupled sliding surfaces, compensates for the residual tracking error introduced by actuator dynamics, parameter uncertainty, and disturbances. This combination is particularly relevant for low-cost embedded implementations, where such imperfections cannot be neglected.</w:t>
      </w:r>
    </w:p>
    <w:p>
      <w:pPr>
        <w:pStyle w:val="BodyText"/>
        <w:rPr/>
      </w:pPr>
      <w:r>
        <w:rPr/>
        <w:t>On the implementation side, commercial AGVs typically rely on industrial fieldbuses (e.g., CAN or EtherCAT) and dedicated motor-control hardware, which add considerable cost. We instead propose a low-cost architecture built from an STM32 microcontroller for real-time motor-level control and an ESP32 module running Espressif’s ESP-NOW protocol [6] for the wireless link between the robot and a ROS2-based supervisory computer. ESP-NOW is a connectionless Wi-Fi-based protocol that collapses the upper OSI layers into a single lightweight layer, giving millisecond-level response without the pairing overhead of a conventional access point, which makes it attractive for closing a real-time control loop wirelessly at very low hardware cost. State estimation is performed with an extended Kalman filter (EKF) that fuses wheel-odometry and inertial measurements.</w:t>
      </w:r>
    </w:p>
    <w:p>
      <w:pPr>
        <w:pStyle w:val="BodyText"/>
        <w:rPr/>
      </w:pPr>
      <w:r>
        <w:rPr/>
        <w:t>The main contributions of this paper are as follows:</w:t>
      </w:r>
    </w:p>
    <w:p>
      <w:pPr>
        <w:pStyle w:val="bulletlist"/>
        <w:numPr>
          <w:ilvl w:val="0"/>
          <w:numId w:val="2"/>
        </w:numPr>
        <w:ind w:hanging="288" w:left="576"/>
        <w:rPr/>
      </w:pPr>
      <w:r>
        <w:rPr/>
        <w:t>A full derivation of a BSMC law that augments the Kanayama tracking law with two coupled sliding surfaces and a continuous, saturation-based switching term.</w:t>
      </w:r>
    </w:p>
    <w:p>
      <w:pPr>
        <w:pStyle w:val="bulletlist"/>
        <w:numPr>
          <w:ilvl w:val="0"/>
          <w:numId w:val="2"/>
        </w:numPr>
        <w:ind w:hanging="288" w:left="576"/>
        <w:rPr/>
      </w:pPr>
      <w:r>
        <w:rPr/>
        <w:t>Identification and discussion of a formula-to-implementation consistency issue concerning the substitution of a constant nominal desired velocity for the time-varying reference velocity profile inside the angular-velocity control law, together with its implications for the Lyapunov stability guarantee.</w:t>
      </w:r>
    </w:p>
    <w:p>
      <w:pPr>
        <w:pStyle w:val="bulletlist"/>
        <w:numPr>
          <w:ilvl w:val="0"/>
          <w:numId w:val="2"/>
        </w:numPr>
        <w:ind w:hanging="288" w:left="576"/>
        <w:rPr/>
      </w:pPr>
      <w:r>
        <w:rPr/>
        <w:t>A fully low-cost embedded and wireless architecture (STM32 + ESP32/ESP-NOW + ROS2 + EKF) that realizes the proposed controller on real hardware.</w:t>
      </w:r>
    </w:p>
    <w:p>
      <w:pPr>
        <w:pStyle w:val="bulletlist"/>
        <w:numPr>
          <w:ilvl w:val="0"/>
          <w:numId w:val="2"/>
        </w:numPr>
        <w:ind w:hanging="288" w:left="576"/>
        <w:rPr/>
      </w:pPr>
      <w:r>
        <w:rPr/>
        <w:t>A structured experimental methodology, including an analytically motivated lower bound on the achievable convergence time, used to define realistic acceptance criteria for hardware validation.</w:t>
      </w:r>
    </w:p>
    <w:p>
      <w:pPr>
        <w:pStyle w:val="BodyText"/>
        <w:rPr/>
      </w:pPr>
      <w:r>
        <w:rPr/>
        <w:t>The remainder of this paper is organized as follows. Section II presents the kinematic and dynamic model of the DDMR. Section III derives the proposed BSMC law and its stability properties. Section IV describes the low-cost hardware and communication architecture. Section V details the experimental methodology, Section VI reports simulation and hardware results, and Section VII concludes the paper and outlines future work.</w:t>
      </w:r>
    </w:p>
    <w:p>
      <w:pPr>
        <w:pStyle w:val="Heading1"/>
        <w:ind w:hanging="0"/>
        <w:rPr/>
      </w:pPr>
      <w:r>
        <w:rPr/>
        <w:t>Robot Kinematic and Dynamic Modeling</w:t>
      </w:r>
    </w:p>
    <w:p>
      <w:pPr>
        <w:pStyle w:val="Heading2"/>
        <w:rPr/>
      </w:pPr>
      <w:r>
        <w:rPr/>
        <w:t>Differential-Drive Kinematic Model</w:t>
      </w:r>
    </w:p>
    <w:p>
      <w:pPr>
        <w:pStyle w:val="BodyText"/>
        <w:rPr/>
      </w:pPr>
      <w:r>
        <w:rPr/>
        <w:t xml:space="preserve">Let </w:t>
      </w:r>
      <w:r>
        <w:rPr>
          <w:i/>
          <w:iCs/>
        </w:rPr>
        <w:t>(x, y, θ)</w:t>
      </w:r>
      <w:r>
        <w:rPr/>
        <w:t xml:space="preserve"> denote the robot posture in a fixed world frame, where </w:t>
      </w:r>
      <w:r>
        <w:rPr>
          <w:i/>
          <w:iCs/>
        </w:rPr>
        <w:t>θ</w:t>
      </w:r>
      <w:r>
        <w:rPr/>
        <w:t xml:space="preserve"> is the heading angle. Under the standard no-slip assumption, the kinematic model of a DDMR is</w:t>
      </w:r>
    </w:p>
    <w:p>
      <w:pPr>
        <w:pStyle w:val="equation"/>
        <w:rPr/>
      </w:pPr>
      <w:r>
        <w:rPr/>
        <w:tab/>
      </w:r>
      <w:r>
        <w:rPr>
          <w:rFonts w:cs="Cambria Math" w:ascii="Cambria Math" w:hAnsi="Cambria Math"/>
          <w:i/>
          <w:iCs/>
        </w:rPr>
        <w:t>x′</w:t>
      </w:r>
      <w:r>
        <w:rPr>
          <w:rFonts w:cs="Cambria Math" w:ascii="Cambria Math" w:hAnsi="Cambria Math"/>
        </w:rPr>
        <w:t xml:space="preserve">= </w:t>
      </w:r>
      <w:r>
        <w:rPr>
          <w:rFonts w:cs="Cambria Math" w:ascii="Cambria Math" w:hAnsi="Cambria Math"/>
          <w:i/>
          <w:iCs/>
        </w:rPr>
        <w:t>v</w:t>
      </w:r>
      <w:r>
        <w:rPr>
          <w:rFonts w:cs="Cambria Math" w:ascii="Cambria Math" w:hAnsi="Cambria Math"/>
        </w:rPr>
        <w:t xml:space="preserve"> cos </w:t>
      </w:r>
      <w:r>
        <w:rPr>
          <w:rFonts w:cs="Cambria Math" w:ascii="Cambria Math" w:hAnsi="Cambria Math"/>
          <w:i/>
          <w:iCs/>
        </w:rPr>
        <w:t>θ</w:t>
      </w:r>
      <w:r>
        <w:rPr>
          <w:rFonts w:cs="Cambria Math" w:ascii="Cambria Math" w:hAnsi="Cambria Math"/>
        </w:rPr>
        <w:t xml:space="preserve">,  </w:t>
      </w:r>
      <w:r>
        <w:rPr>
          <w:rFonts w:cs="Cambria Math" w:ascii="Cambria Math" w:hAnsi="Cambria Math"/>
          <w:i/>
          <w:iCs/>
        </w:rPr>
        <w:t>y′</w:t>
      </w:r>
      <w:r>
        <w:rPr>
          <w:rFonts w:cs="Cambria Math" w:ascii="Cambria Math" w:hAnsi="Cambria Math"/>
        </w:rPr>
        <w:t xml:space="preserve">= </w:t>
      </w:r>
      <w:r>
        <w:rPr>
          <w:rFonts w:cs="Cambria Math" w:ascii="Cambria Math" w:hAnsi="Cambria Math"/>
          <w:i/>
          <w:iCs/>
        </w:rPr>
        <w:t>v</w:t>
      </w:r>
      <w:r>
        <w:rPr>
          <w:rFonts w:cs="Cambria Math" w:ascii="Cambria Math" w:hAnsi="Cambria Math"/>
        </w:rPr>
        <w:t xml:space="preserve"> sin </w:t>
      </w:r>
      <w:r>
        <w:rPr>
          <w:rFonts w:cs="Cambria Math" w:ascii="Cambria Math" w:hAnsi="Cambria Math"/>
          <w:i/>
          <w:iCs/>
        </w:rPr>
        <w:t>θ</w:t>
      </w:r>
      <w:r>
        <w:rPr>
          <w:rFonts w:cs="Cambria Math" w:ascii="Cambria Math" w:hAnsi="Cambria Math"/>
        </w:rPr>
        <w:t xml:space="preserve">,  </w:t>
      </w:r>
      <w:r>
        <w:rPr>
          <w:rFonts w:cs="Cambria Math" w:ascii="Cambria Math" w:hAnsi="Cambria Math"/>
          <w:i/>
          <w:iCs/>
        </w:rPr>
        <w:t>θ′</w:t>
      </w:r>
      <w:r>
        <w:rPr>
          <w:rFonts w:cs="Cambria Math" w:ascii="Cambria Math" w:hAnsi="Cambria Math"/>
        </w:rPr>
        <w:t xml:space="preserve">= </w:t>
      </w:r>
      <w:r>
        <w:rPr>
          <w:rFonts w:cs="Cambria Math" w:ascii="Cambria Math" w:hAnsi="Cambria Math"/>
          <w:i/>
          <w:iCs/>
        </w:rPr>
        <w:t>ω</w:t>
      </w:r>
      <w:r>
        <w:rPr/>
        <w:tab/>
      </w:r>
      <w:r>
        <w:rPr>
          <w:rFonts w:cs="Cambria Math" w:ascii="Cambria Math" w:hAnsi="Cambria Math"/>
        </w:rPr>
        <w:t>(1)</w:t>
      </w:r>
    </w:p>
    <w:p>
      <w:pPr>
        <w:pStyle w:val="BodyText"/>
        <w:rPr/>
      </w:pPr>
      <w:r>
        <w:rPr/>
        <w:t xml:space="preserve">Here and throughout, a prime denotes the time derivative, e.g., </w:t>
      </w:r>
      <w:r>
        <w:rPr>
          <w:i/>
          <w:iCs/>
        </w:rPr>
        <w:t>x′ ≡ dx/dt</w:t>
      </w:r>
      <w:r>
        <w:rPr/>
        <w:t>.</w:t>
      </w:r>
    </w:p>
    <w:p>
      <w:pPr>
        <w:pStyle w:val="BodyText"/>
        <w:rPr/>
      </w:pPr>
      <w:r>
        <w:rPr/>
        <w:t xml:space="preserve">where </w:t>
      </w:r>
      <w:r>
        <w:rPr>
          <w:i/>
          <w:iCs/>
        </w:rPr>
        <w:t>v</w:t>
      </w:r>
      <w:r>
        <w:rPr/>
        <w:t xml:space="preserve"> and </w:t>
      </w:r>
      <w:r>
        <w:rPr>
          <w:i/>
          <w:iCs/>
        </w:rPr>
        <w:t>ω</w:t>
      </w:r>
      <w:r>
        <w:rPr/>
        <w:t xml:space="preserve"> are the robot’s linear and angular velocities. These are related to the angular speeds of the right and left wheels, </w:t>
      </w:r>
      <w:r>
        <w:rPr>
          <w:i/>
          <w:iCs/>
        </w:rPr>
        <w:t>φ′R</w:t>
      </w:r>
      <w:r>
        <w:rPr/>
        <w:t xml:space="preserve"> and </w:t>
      </w:r>
      <w:r>
        <w:rPr>
          <w:i/>
          <w:iCs/>
        </w:rPr>
        <w:t>φ′L</w:t>
      </w:r>
      <w:r>
        <w:rPr/>
        <w:t xml:space="preserve">, through the wheel radius </w:t>
      </w:r>
      <w:r>
        <w:rPr>
          <w:i/>
          <w:iCs/>
        </w:rPr>
        <w:t>r</w:t>
      </w:r>
      <w:r>
        <w:rPr/>
        <w:t xml:space="preserve"> and the full track width (wheelbase) </w:t>
      </w:r>
      <w:r>
        <w:rPr>
          <w:i/>
          <w:iCs/>
        </w:rPr>
        <w:t>L</w:t>
      </w:r>
      <w:r>
        <w:rPr/>
        <w:t>:</w:t>
      </w:r>
    </w:p>
    <w:p>
      <w:pPr>
        <w:pStyle w:val="equation"/>
        <w:rPr/>
      </w:pPr>
      <w:r>
        <w:rPr/>
        <w:tab/>
      </w:r>
      <w:r>
        <w:rPr>
          <w:rFonts w:cs="Cambria Math" w:ascii="Cambria Math" w:hAnsi="Cambria Math"/>
          <w:i/>
          <w:iCs/>
        </w:rPr>
        <w:t>v</w:t>
      </w:r>
      <w:r>
        <w:rPr>
          <w:rFonts w:cs="Cambria Math" w:ascii="Cambria Math" w:hAnsi="Cambria Math"/>
        </w:rPr>
        <w:t xml:space="preserve">= </w:t>
      </w:r>
      <w:r>
        <w:rPr>
          <w:rFonts w:cs="Cambria Math" w:ascii="Cambria Math" w:hAnsi="Cambria Math"/>
          <w:i/>
          <w:iCs/>
        </w:rPr>
        <w:t>r</w:t>
      </w:r>
      <w:r>
        <w:rPr>
          <w:rFonts w:cs="Cambria Math" w:ascii="Cambria Math" w:hAnsi="Cambria Math"/>
        </w:rPr>
        <w:t>(</w:t>
      </w:r>
      <w:r>
        <w:rPr>
          <w:rFonts w:cs="Cambria Math" w:ascii="Cambria Math" w:hAnsi="Cambria Math"/>
          <w:i/>
          <w:iCs/>
        </w:rPr>
        <w:t>φ′</w:t>
      </w:r>
      <w:r>
        <w:rPr>
          <w:rFonts w:cs="Cambria Math" w:ascii="Cambria Math" w:hAnsi="Cambria Math"/>
          <w:i/>
          <w:iCs/>
          <w:sz w:val="18"/>
          <w:szCs w:val="18"/>
          <w:vertAlign w:val="subscript"/>
        </w:rPr>
        <w:t>R</w:t>
      </w:r>
      <w:r>
        <w:rPr>
          <w:rFonts w:cs="Cambria Math" w:ascii="Cambria Math" w:hAnsi="Cambria Math"/>
        </w:rPr>
        <w:t xml:space="preserve"> + </w:t>
      </w:r>
      <w:r>
        <w:rPr>
          <w:rFonts w:cs="Cambria Math" w:ascii="Cambria Math" w:hAnsi="Cambria Math"/>
          <w:i/>
          <w:iCs/>
        </w:rPr>
        <w:t>φ′</w:t>
      </w:r>
      <w:r>
        <w:rPr>
          <w:rFonts w:cs="Cambria Math" w:ascii="Cambria Math" w:hAnsi="Cambria Math"/>
          <w:i/>
          <w:iCs/>
          <w:sz w:val="18"/>
          <w:szCs w:val="18"/>
          <w:vertAlign w:val="subscript"/>
        </w:rPr>
        <w:t>L</w:t>
      </w:r>
      <w:r>
        <w:rPr>
          <w:rFonts w:cs="Cambria Math" w:ascii="Cambria Math" w:hAnsi="Cambria Math"/>
        </w:rPr>
        <w:t xml:space="preserve">)/2,   </w:t>
      </w:r>
      <w:r>
        <w:rPr>
          <w:rFonts w:cs="Cambria Math" w:ascii="Cambria Math" w:hAnsi="Cambria Math"/>
          <w:i/>
          <w:iCs/>
        </w:rPr>
        <w:t>ω</w:t>
      </w:r>
      <w:r>
        <w:rPr>
          <w:rFonts w:cs="Cambria Math" w:ascii="Cambria Math" w:hAnsi="Cambria Math"/>
        </w:rPr>
        <w:t xml:space="preserve">= </w:t>
      </w:r>
      <w:r>
        <w:rPr>
          <w:rFonts w:cs="Cambria Math" w:ascii="Cambria Math" w:hAnsi="Cambria Math"/>
          <w:i/>
          <w:iCs/>
        </w:rPr>
        <w:t>r</w:t>
      </w:r>
      <w:r>
        <w:rPr>
          <w:rFonts w:cs="Cambria Math" w:ascii="Cambria Math" w:hAnsi="Cambria Math"/>
        </w:rPr>
        <w:t>(</w:t>
      </w:r>
      <w:r>
        <w:rPr>
          <w:rFonts w:cs="Cambria Math" w:ascii="Cambria Math" w:hAnsi="Cambria Math"/>
          <w:i/>
          <w:iCs/>
        </w:rPr>
        <w:t>φ′</w:t>
      </w:r>
      <w:r>
        <w:rPr>
          <w:rFonts w:cs="Cambria Math" w:ascii="Cambria Math" w:hAnsi="Cambria Math"/>
          <w:i/>
          <w:iCs/>
          <w:sz w:val="18"/>
          <w:szCs w:val="18"/>
          <w:vertAlign w:val="subscript"/>
        </w:rPr>
        <w:t>R</w:t>
      </w:r>
      <w:r>
        <w:rPr>
          <w:rFonts w:cs="Cambria Math" w:ascii="Cambria Math" w:hAnsi="Cambria Math"/>
        </w:rPr>
        <w:t xml:space="preserve"> − </w:t>
      </w:r>
      <w:r>
        <w:rPr>
          <w:rFonts w:cs="Cambria Math" w:ascii="Cambria Math" w:hAnsi="Cambria Math"/>
          <w:i/>
          <w:iCs/>
        </w:rPr>
        <w:t>φ′</w:t>
      </w:r>
      <w:r>
        <w:rPr>
          <w:rFonts w:cs="Cambria Math" w:ascii="Cambria Math" w:hAnsi="Cambria Math"/>
          <w:i/>
          <w:iCs/>
          <w:sz w:val="18"/>
          <w:szCs w:val="18"/>
          <w:vertAlign w:val="subscript"/>
        </w:rPr>
        <w:t>L</w:t>
      </w:r>
      <w:r>
        <w:rPr>
          <w:rFonts w:cs="Cambria Math" w:ascii="Cambria Math" w:hAnsi="Cambria Math"/>
        </w:rPr>
        <w:t>)/</w:t>
      </w:r>
      <w:r>
        <w:rPr>
          <w:rFonts w:cs="Cambria Math" w:ascii="Cambria Math" w:hAnsi="Cambria Math"/>
          <w:i/>
          <w:iCs/>
        </w:rPr>
        <w:t>L</w:t>
      </w:r>
      <w:r>
        <w:rPr/>
        <w:tab/>
      </w:r>
      <w:r>
        <w:rPr>
          <w:rFonts w:cs="Cambria Math" w:ascii="Cambria Math" w:hAnsi="Cambria Math"/>
        </w:rPr>
        <w:t>(2)</w:t>
      </w:r>
    </w:p>
    <w:p>
      <w:pPr>
        <w:pStyle w:val="BodyText"/>
        <w:rPr/>
      </w:pPr>
      <w:r>
        <w:rPr>
          <w:i/>
          <w:iCs/>
        </w:rPr>
        <w:t>Remark.</w:t>
      </w:r>
      <w:r>
        <w:rPr/>
        <w:t xml:space="preserve"> The angular-velocity relation in (2) must use the </w:t>
      </w:r>
      <w:r>
        <w:rPr>
          <w:i/>
          <w:iCs/>
        </w:rPr>
        <w:t>full</w:t>
      </w:r>
      <w:r>
        <w:rPr/>
        <w:t xml:space="preserve"> track width </w:t>
      </w:r>
      <w:r>
        <w:rPr>
          <w:i/>
          <w:iCs/>
        </w:rPr>
        <w:t>L</w:t>
      </w:r>
      <w:r>
        <w:rPr/>
        <w:t xml:space="preserve"> between the two wheels rather than the half-width </w:t>
      </w:r>
      <w:r>
        <w:rPr>
          <w:i/>
          <w:iCs/>
        </w:rPr>
        <w:t>L/2</w:t>
      </w:r>
      <w:r>
        <w:rPr/>
        <w:t xml:space="preserve">. Using </w:t>
      </w:r>
      <w:r>
        <w:rPr>
          <w:i/>
          <w:iCs/>
        </w:rPr>
        <w:t>L/2</w:t>
      </w:r>
      <w:r>
        <w:rPr/>
        <w:t xml:space="preserve"> in place of </w:t>
      </w:r>
      <w:r>
        <w:rPr>
          <w:i/>
          <w:iCs/>
        </w:rPr>
        <w:t>L</w:t>
      </w:r>
      <w:r>
        <w:rPr/>
        <w:t xml:space="preserve"> doubles the estimated angular velocity for a given differential wheel speed; this is a subtle but consequential error to check for when porting the kinematic block between a simulation model and embedded firmware, and one that we explicitly verified in our implementation.</w:t>
      </w:r>
    </w:p>
    <w:p>
      <w:pPr>
        <w:pStyle w:val="Heading2"/>
        <w:rPr/>
      </w:pPr>
      <w:r>
        <w:rPr/>
        <w:t>Trajectory Tracking Error Dynamics</w:t>
      </w:r>
    </w:p>
    <w:p>
      <w:pPr>
        <w:pStyle w:val="BodyText"/>
        <w:rPr/>
      </w:pPr>
      <w:r>
        <w:rPr/>
        <w:t xml:space="preserve">Let the reference trajectory generator produce a desired posture </w:t>
      </w:r>
      <w:r>
        <w:rPr>
          <w:i/>
          <w:iCs/>
        </w:rPr>
        <w:t>(x_d, y_d, θ_d)</w:t>
      </w:r>
      <w:r>
        <w:rPr/>
        <w:t xml:space="preserve"> moving with desired linear and angular velocities </w:t>
      </w:r>
      <w:r>
        <w:rPr>
          <w:i/>
          <w:iCs/>
        </w:rPr>
        <w:t>v_d(t)</w:t>
      </w:r>
      <w:r>
        <w:rPr/>
        <w:t xml:space="preserve"> and </w:t>
      </w:r>
      <w:r>
        <w:rPr>
          <w:i/>
          <w:iCs/>
        </w:rPr>
        <w:t>ω_d(t)</w:t>
      </w:r>
      <w:r>
        <w:rPr/>
        <w:t>. Following Kanayama [1], the tracking error expressed in the robot’s body frame is</w:t>
      </w:r>
    </w:p>
    <w:p>
      <w:pPr>
        <w:pStyle w:val="equation"/>
        <w:rPr/>
      </w:pPr>
      <w:r>
        <w:rPr/>
        <w:tab/>
      </w:r>
      <w:r>
        <w:rPr>
          <w:rFonts w:cs="Cambria Math" w:ascii="Cambria Math" w:hAnsi="Cambria Math"/>
          <w:i/>
          <w:iCs/>
        </w:rPr>
        <w:t>e</w:t>
      </w:r>
      <w:r>
        <w:rPr>
          <w:rFonts w:cs="Cambria Math" w:ascii="Cambria Math" w:hAnsi="Cambria Math"/>
          <w:i/>
          <w:iCs/>
          <w:sz w:val="18"/>
          <w:szCs w:val="18"/>
          <w:vertAlign w:val="subscript"/>
        </w:rPr>
        <w:t>x</w:t>
      </w:r>
      <w:r>
        <w:rPr>
          <w:rFonts w:cs="Cambria Math" w:ascii="Cambria Math" w:hAnsi="Cambria Math"/>
        </w:rPr>
        <w:t xml:space="preserve">= cos </w:t>
      </w:r>
      <w:r>
        <w:rPr>
          <w:rFonts w:cs="Cambria Math" w:ascii="Cambria Math" w:hAnsi="Cambria Math"/>
          <w:i/>
          <w:iCs/>
        </w:rPr>
        <w:t>θ</w:t>
      </w:r>
      <w:r>
        <w:rPr>
          <w:rFonts w:cs="Cambria Math" w:ascii="Cambria Math" w:hAnsi="Cambria Math"/>
        </w:rPr>
        <w:t>(</w:t>
      </w:r>
      <w:r>
        <w:rPr>
          <w:rFonts w:cs="Cambria Math" w:ascii="Cambria Math" w:hAnsi="Cambria Math"/>
          <w:i/>
          <w:iCs/>
        </w:rPr>
        <w:t>x</w:t>
      </w:r>
      <w:r>
        <w:rPr>
          <w:rFonts w:cs="Cambria Math" w:ascii="Cambria Math" w:hAnsi="Cambria Math"/>
          <w:i/>
          <w:iCs/>
          <w:sz w:val="18"/>
          <w:szCs w:val="18"/>
          <w:vertAlign w:val="subscript"/>
        </w:rPr>
        <w:t>d</w:t>
      </w:r>
      <w:r>
        <w:rPr>
          <w:rFonts w:cs="Cambria Math" w:ascii="Cambria Math" w:hAnsi="Cambria Math"/>
        </w:rPr>
        <w:t xml:space="preserve"> − </w:t>
      </w:r>
      <w:r>
        <w:rPr>
          <w:rFonts w:cs="Cambria Math" w:ascii="Cambria Math" w:hAnsi="Cambria Math"/>
          <w:i/>
          <w:iCs/>
        </w:rPr>
        <w:t>x</w:t>
      </w:r>
      <w:r>
        <w:rPr>
          <w:rFonts w:cs="Cambria Math" w:ascii="Cambria Math" w:hAnsi="Cambria Math"/>
        </w:rPr>
        <w:t xml:space="preserve">) + sin </w:t>
      </w:r>
      <w:r>
        <w:rPr>
          <w:rFonts w:cs="Cambria Math" w:ascii="Cambria Math" w:hAnsi="Cambria Math"/>
          <w:i/>
          <w:iCs/>
        </w:rPr>
        <w:t>θ</w:t>
      </w:r>
      <w:r>
        <w:rPr>
          <w:rFonts w:cs="Cambria Math" w:ascii="Cambria Math" w:hAnsi="Cambria Math"/>
        </w:rPr>
        <w:t>(</w:t>
      </w:r>
      <w:r>
        <w:rPr>
          <w:rFonts w:cs="Cambria Math" w:ascii="Cambria Math" w:hAnsi="Cambria Math"/>
          <w:i/>
          <w:iCs/>
        </w:rPr>
        <w:t>y</w:t>
      </w:r>
      <w:r>
        <w:rPr>
          <w:rFonts w:cs="Cambria Math" w:ascii="Cambria Math" w:hAnsi="Cambria Math"/>
          <w:i/>
          <w:iCs/>
          <w:sz w:val="18"/>
          <w:szCs w:val="18"/>
          <w:vertAlign w:val="subscript"/>
        </w:rPr>
        <w:t>d</w:t>
      </w:r>
      <w:r>
        <w:rPr>
          <w:rFonts w:cs="Cambria Math" w:ascii="Cambria Math" w:hAnsi="Cambria Math"/>
        </w:rPr>
        <w:t xml:space="preserve"> − </w:t>
      </w:r>
      <w:r>
        <w:rPr>
          <w:rFonts w:cs="Cambria Math" w:ascii="Cambria Math" w:hAnsi="Cambria Math"/>
          <w:i/>
          <w:iCs/>
        </w:rPr>
        <w:t>y</w:t>
      </w:r>
      <w:r>
        <w:rPr>
          <w:rFonts w:cs="Cambria Math" w:ascii="Cambria Math" w:hAnsi="Cambria Math"/>
        </w:rPr>
        <w:t xml:space="preserve">),   </w:t>
      </w:r>
      <w:r>
        <w:rPr>
          <w:rFonts w:cs="Cambria Math" w:ascii="Cambria Math" w:hAnsi="Cambria Math"/>
          <w:i/>
          <w:iCs/>
        </w:rPr>
        <w:t>e</w:t>
      </w:r>
      <w:r>
        <w:rPr>
          <w:rFonts w:cs="Cambria Math" w:ascii="Cambria Math" w:hAnsi="Cambria Math"/>
          <w:i/>
          <w:iCs/>
          <w:sz w:val="18"/>
          <w:szCs w:val="18"/>
          <w:vertAlign w:val="subscript"/>
        </w:rPr>
        <w:t>θ</w:t>
      </w:r>
      <w:r>
        <w:rPr>
          <w:rFonts w:cs="Cambria Math" w:ascii="Cambria Math" w:hAnsi="Cambria Math"/>
        </w:rPr>
        <w:t xml:space="preserve">= </w:t>
      </w:r>
      <w:r>
        <w:rPr>
          <w:rFonts w:cs="Cambria Math" w:ascii="Cambria Math" w:hAnsi="Cambria Math"/>
          <w:i/>
          <w:iCs/>
        </w:rPr>
        <w:t>θ</w:t>
      </w:r>
      <w:r>
        <w:rPr>
          <w:rFonts w:cs="Cambria Math" w:ascii="Cambria Math" w:hAnsi="Cambria Math"/>
          <w:i/>
          <w:iCs/>
          <w:sz w:val="18"/>
          <w:szCs w:val="18"/>
          <w:vertAlign w:val="subscript"/>
        </w:rPr>
        <w:t>d</w:t>
      </w:r>
      <w:r>
        <w:rPr>
          <w:rFonts w:cs="Cambria Math" w:ascii="Cambria Math" w:hAnsi="Cambria Math"/>
        </w:rPr>
        <w:t xml:space="preserve"> − </w:t>
      </w:r>
      <w:r>
        <w:rPr>
          <w:rFonts w:cs="Cambria Math" w:ascii="Cambria Math" w:hAnsi="Cambria Math"/>
          <w:i/>
          <w:iCs/>
        </w:rPr>
        <w:t>θ</w:t>
      </w:r>
      <w:r>
        <w:rPr/>
        <w:tab/>
      </w:r>
      <w:r>
        <w:rPr>
          <w:rFonts w:cs="Cambria Math" w:ascii="Cambria Math" w:hAnsi="Cambria Math"/>
        </w:rPr>
        <w:t>(3)</w:t>
      </w:r>
    </w:p>
    <w:p>
      <w:pPr>
        <w:pStyle w:val="equation"/>
        <w:rPr/>
      </w:pPr>
      <w:r>
        <w:rPr/>
        <w:tab/>
      </w:r>
      <w:r>
        <w:rPr>
          <w:rFonts w:cs="Cambria Math" w:ascii="Cambria Math" w:hAnsi="Cambria Math"/>
          <w:i/>
          <w:iCs/>
        </w:rPr>
        <w:t>e</w:t>
      </w:r>
      <w:r>
        <w:rPr>
          <w:rFonts w:cs="Cambria Math" w:ascii="Cambria Math" w:hAnsi="Cambria Math"/>
          <w:i/>
          <w:iCs/>
          <w:sz w:val="18"/>
          <w:szCs w:val="18"/>
          <w:vertAlign w:val="subscript"/>
        </w:rPr>
        <w:t>y</w:t>
      </w:r>
      <w:r>
        <w:rPr>
          <w:rFonts w:cs="Cambria Math" w:ascii="Cambria Math" w:hAnsi="Cambria Math"/>
        </w:rPr>
        <w:t xml:space="preserve">= −sin </w:t>
      </w:r>
      <w:r>
        <w:rPr>
          <w:rFonts w:cs="Cambria Math" w:ascii="Cambria Math" w:hAnsi="Cambria Math"/>
          <w:i/>
          <w:iCs/>
        </w:rPr>
        <w:t>θ</w:t>
      </w:r>
      <w:r>
        <w:rPr>
          <w:rFonts w:cs="Cambria Math" w:ascii="Cambria Math" w:hAnsi="Cambria Math"/>
        </w:rPr>
        <w:t>(</w:t>
      </w:r>
      <w:r>
        <w:rPr>
          <w:rFonts w:cs="Cambria Math" w:ascii="Cambria Math" w:hAnsi="Cambria Math"/>
          <w:i/>
          <w:iCs/>
        </w:rPr>
        <w:t>x</w:t>
      </w:r>
      <w:r>
        <w:rPr>
          <w:rFonts w:cs="Cambria Math" w:ascii="Cambria Math" w:hAnsi="Cambria Math"/>
          <w:i/>
          <w:iCs/>
          <w:sz w:val="18"/>
          <w:szCs w:val="18"/>
          <w:vertAlign w:val="subscript"/>
        </w:rPr>
        <w:t>d</w:t>
      </w:r>
      <w:r>
        <w:rPr>
          <w:rFonts w:cs="Cambria Math" w:ascii="Cambria Math" w:hAnsi="Cambria Math"/>
        </w:rPr>
        <w:t xml:space="preserve"> − </w:t>
      </w:r>
      <w:r>
        <w:rPr>
          <w:rFonts w:cs="Cambria Math" w:ascii="Cambria Math" w:hAnsi="Cambria Math"/>
          <w:i/>
          <w:iCs/>
        </w:rPr>
        <w:t>x</w:t>
      </w:r>
      <w:r>
        <w:rPr>
          <w:rFonts w:cs="Cambria Math" w:ascii="Cambria Math" w:hAnsi="Cambria Math"/>
        </w:rPr>
        <w:t xml:space="preserve">) + cos </w:t>
      </w:r>
      <w:r>
        <w:rPr>
          <w:rFonts w:cs="Cambria Math" w:ascii="Cambria Math" w:hAnsi="Cambria Math"/>
          <w:i/>
          <w:iCs/>
        </w:rPr>
        <w:t>θ</w:t>
      </w:r>
      <w:r>
        <w:rPr>
          <w:rFonts w:cs="Cambria Math" w:ascii="Cambria Math" w:hAnsi="Cambria Math"/>
        </w:rPr>
        <w:t>(</w:t>
      </w:r>
      <w:r>
        <w:rPr>
          <w:rFonts w:cs="Cambria Math" w:ascii="Cambria Math" w:hAnsi="Cambria Math"/>
          <w:i/>
          <w:iCs/>
        </w:rPr>
        <w:t>y</w:t>
      </w:r>
      <w:r>
        <w:rPr>
          <w:rFonts w:cs="Cambria Math" w:ascii="Cambria Math" w:hAnsi="Cambria Math"/>
          <w:i/>
          <w:iCs/>
          <w:sz w:val="18"/>
          <w:szCs w:val="18"/>
          <w:vertAlign w:val="subscript"/>
        </w:rPr>
        <w:t>d</w:t>
      </w:r>
      <w:r>
        <w:rPr>
          <w:rFonts w:cs="Cambria Math" w:ascii="Cambria Math" w:hAnsi="Cambria Math"/>
        </w:rPr>
        <w:t xml:space="preserve"> − </w:t>
      </w:r>
      <w:r>
        <w:rPr>
          <w:rFonts w:cs="Cambria Math" w:ascii="Cambria Math" w:hAnsi="Cambria Math"/>
          <w:i/>
          <w:iCs/>
        </w:rPr>
        <w:t>y</w:t>
      </w:r>
      <w:r>
        <w:rPr>
          <w:rFonts w:cs="Cambria Math" w:ascii="Cambria Math" w:hAnsi="Cambria Math"/>
        </w:rPr>
        <w:t>)</w:t>
      </w:r>
      <w:r>
        <w:rPr/>
        <w:tab/>
      </w:r>
      <w:r>
        <w:rPr>
          <w:rFonts w:cs="Cambria Math" w:ascii="Cambria Math" w:hAnsi="Cambria Math"/>
        </w:rPr>
        <w:t>(3’)</w:t>
      </w:r>
    </w:p>
    <w:p>
      <w:pPr>
        <w:pStyle w:val="BodyText"/>
        <w:rPr/>
      </w:pPr>
      <w:r>
        <w:rPr/>
        <w:t>Differentiating (3) along the kinematics in (1) gives the well-known error dynamics</w:t>
      </w:r>
    </w:p>
    <w:p>
      <w:pPr>
        <w:pStyle w:val="equation"/>
        <w:rPr/>
      </w:pPr>
      <w:r>
        <w:rPr/>
        <w:tab/>
      </w:r>
      <w:r>
        <w:rPr>
          <w:rFonts w:cs="Cambria Math" w:ascii="Cambria Math" w:hAnsi="Cambria Math"/>
          <w:i/>
          <w:iCs/>
        </w:rPr>
        <w:t>e′</w:t>
      </w:r>
      <w:r>
        <w:rPr>
          <w:rFonts w:cs="Cambria Math" w:ascii="Cambria Math" w:hAnsi="Cambria Math"/>
          <w:i/>
          <w:iCs/>
          <w:sz w:val="18"/>
          <w:szCs w:val="18"/>
          <w:vertAlign w:val="subscript"/>
        </w:rPr>
        <w:t>x</w:t>
      </w:r>
      <w:r>
        <w:rPr>
          <w:rFonts w:cs="Cambria Math" w:ascii="Cambria Math" w:hAnsi="Cambria Math"/>
        </w:rPr>
        <w:t xml:space="preserve">= </w:t>
      </w:r>
      <w:r>
        <w:rPr>
          <w:rFonts w:cs="Cambria Math" w:ascii="Cambria Math" w:hAnsi="Cambria Math"/>
          <w:i/>
          <w:iCs/>
        </w:rPr>
        <w:t>ωe</w:t>
      </w:r>
      <w:r>
        <w:rPr>
          <w:rFonts w:cs="Cambria Math" w:ascii="Cambria Math" w:hAnsi="Cambria Math"/>
          <w:i/>
          <w:iCs/>
          <w:sz w:val="18"/>
          <w:szCs w:val="18"/>
          <w:vertAlign w:val="subscript"/>
        </w:rPr>
        <w:t>y</w:t>
      </w:r>
      <w:r>
        <w:rPr>
          <w:rFonts w:cs="Cambria Math" w:ascii="Cambria Math" w:hAnsi="Cambria Math"/>
        </w:rPr>
        <w:t xml:space="preserve"> − </w:t>
      </w:r>
      <w:r>
        <w:rPr>
          <w:rFonts w:cs="Cambria Math" w:ascii="Cambria Math" w:hAnsi="Cambria Math"/>
          <w:i/>
          <w:iCs/>
        </w:rPr>
        <w:t>v</w:t>
      </w:r>
      <w:r>
        <w:rPr>
          <w:rFonts w:cs="Cambria Math" w:ascii="Cambria Math" w:hAnsi="Cambria Math"/>
        </w:rPr>
        <w:t xml:space="preserve"> + </w:t>
      </w:r>
      <w:r>
        <w:rPr>
          <w:rFonts w:cs="Cambria Math" w:ascii="Cambria Math" w:hAnsi="Cambria Math"/>
          <w:i/>
          <w:iCs/>
        </w:rPr>
        <w:t>v</w:t>
      </w:r>
      <w:r>
        <w:rPr>
          <w:rFonts w:cs="Cambria Math" w:ascii="Cambria Math" w:hAnsi="Cambria Math"/>
          <w:i/>
          <w:iCs/>
          <w:sz w:val="18"/>
          <w:szCs w:val="18"/>
          <w:vertAlign w:val="subscript"/>
        </w:rPr>
        <w:t>d</w:t>
      </w:r>
      <w:r>
        <w:rPr>
          <w:rFonts w:cs="Cambria Math" w:ascii="Cambria Math" w:hAnsi="Cambria Math"/>
        </w:rPr>
        <w:t xml:space="preserve"> cos </w:t>
      </w:r>
      <w:r>
        <w:rPr>
          <w:rFonts w:cs="Cambria Math" w:ascii="Cambria Math" w:hAnsi="Cambria Math"/>
          <w:i/>
          <w:iCs/>
        </w:rPr>
        <w:t>e</w:t>
      </w:r>
      <w:r>
        <w:rPr>
          <w:rFonts w:cs="Cambria Math" w:ascii="Cambria Math" w:hAnsi="Cambria Math"/>
          <w:i/>
          <w:iCs/>
          <w:sz w:val="18"/>
          <w:szCs w:val="18"/>
          <w:vertAlign w:val="subscript"/>
        </w:rPr>
        <w:t>θ</w:t>
      </w:r>
      <w:r>
        <w:rPr>
          <w:rFonts w:cs="Cambria Math" w:ascii="Cambria Math" w:hAnsi="Cambria Math"/>
        </w:rPr>
        <w:t xml:space="preserve">,   </w:t>
      </w:r>
      <w:r>
        <w:rPr>
          <w:rFonts w:cs="Cambria Math" w:ascii="Cambria Math" w:hAnsi="Cambria Math"/>
          <w:i/>
          <w:iCs/>
        </w:rPr>
        <w:t>e′</w:t>
      </w:r>
      <w:r>
        <w:rPr>
          <w:rFonts w:cs="Cambria Math" w:ascii="Cambria Math" w:hAnsi="Cambria Math"/>
          <w:i/>
          <w:iCs/>
          <w:sz w:val="18"/>
          <w:szCs w:val="18"/>
          <w:vertAlign w:val="subscript"/>
        </w:rPr>
        <w:t>θ</w:t>
      </w:r>
      <w:r>
        <w:rPr>
          <w:rFonts w:cs="Cambria Math" w:ascii="Cambria Math" w:hAnsi="Cambria Math"/>
        </w:rPr>
        <w:t xml:space="preserve">= </w:t>
      </w:r>
      <w:r>
        <w:rPr>
          <w:rFonts w:cs="Cambria Math" w:ascii="Cambria Math" w:hAnsi="Cambria Math"/>
          <w:i/>
          <w:iCs/>
        </w:rPr>
        <w:t>ω</w:t>
      </w:r>
      <w:r>
        <w:rPr>
          <w:rFonts w:cs="Cambria Math" w:ascii="Cambria Math" w:hAnsi="Cambria Math"/>
          <w:i/>
          <w:iCs/>
          <w:sz w:val="18"/>
          <w:szCs w:val="18"/>
          <w:vertAlign w:val="subscript"/>
        </w:rPr>
        <w:t>d</w:t>
      </w:r>
      <w:r>
        <w:rPr>
          <w:rFonts w:cs="Cambria Math" w:ascii="Cambria Math" w:hAnsi="Cambria Math"/>
        </w:rPr>
        <w:t xml:space="preserve"> − </w:t>
      </w:r>
      <w:r>
        <w:rPr>
          <w:rFonts w:cs="Cambria Math" w:ascii="Cambria Math" w:hAnsi="Cambria Math"/>
          <w:i/>
          <w:iCs/>
        </w:rPr>
        <w:t>ω</w:t>
      </w:r>
      <w:r>
        <w:rPr/>
        <w:tab/>
      </w:r>
      <w:r>
        <w:rPr>
          <w:rFonts w:cs="Cambria Math" w:ascii="Cambria Math" w:hAnsi="Cambria Math"/>
        </w:rPr>
        <w:t>(4)</w:t>
      </w:r>
    </w:p>
    <w:p>
      <w:pPr>
        <w:pStyle w:val="equation"/>
        <w:rPr/>
      </w:pPr>
      <w:r>
        <w:rPr/>
        <w:tab/>
      </w:r>
      <w:r>
        <w:rPr>
          <w:rFonts w:cs="Cambria Math" w:ascii="Cambria Math" w:hAnsi="Cambria Math"/>
          <w:i/>
          <w:iCs/>
        </w:rPr>
        <w:t>e′</w:t>
      </w:r>
      <w:r>
        <w:rPr>
          <w:rFonts w:cs="Cambria Math" w:ascii="Cambria Math" w:hAnsi="Cambria Math"/>
          <w:i/>
          <w:iCs/>
          <w:sz w:val="18"/>
          <w:szCs w:val="18"/>
          <w:vertAlign w:val="subscript"/>
        </w:rPr>
        <w:t>y</w:t>
      </w:r>
      <w:r>
        <w:rPr>
          <w:rFonts w:cs="Cambria Math" w:ascii="Cambria Math" w:hAnsi="Cambria Math"/>
        </w:rPr>
        <w:t>= −</w:t>
      </w:r>
      <w:r>
        <w:rPr>
          <w:rFonts w:cs="Cambria Math" w:ascii="Cambria Math" w:hAnsi="Cambria Math"/>
          <w:i/>
          <w:iCs/>
        </w:rPr>
        <w:t>ωe</w:t>
      </w:r>
      <w:r>
        <w:rPr>
          <w:rFonts w:cs="Cambria Math" w:ascii="Cambria Math" w:hAnsi="Cambria Math"/>
          <w:i/>
          <w:iCs/>
          <w:sz w:val="18"/>
          <w:szCs w:val="18"/>
          <w:vertAlign w:val="subscript"/>
        </w:rPr>
        <w:t>x</w:t>
      </w:r>
      <w:r>
        <w:rPr>
          <w:rFonts w:cs="Cambria Math" w:ascii="Cambria Math" w:hAnsi="Cambria Math"/>
        </w:rPr>
        <w:t xml:space="preserve"> + </w:t>
      </w:r>
      <w:r>
        <w:rPr>
          <w:rFonts w:cs="Cambria Math" w:ascii="Cambria Math" w:hAnsi="Cambria Math"/>
          <w:i/>
          <w:iCs/>
        </w:rPr>
        <w:t>v</w:t>
      </w:r>
      <w:r>
        <w:rPr>
          <w:rFonts w:cs="Cambria Math" w:ascii="Cambria Math" w:hAnsi="Cambria Math"/>
          <w:i/>
          <w:iCs/>
          <w:sz w:val="18"/>
          <w:szCs w:val="18"/>
          <w:vertAlign w:val="subscript"/>
        </w:rPr>
        <w:t>d</w:t>
      </w:r>
      <w:r>
        <w:rPr>
          <w:rFonts w:cs="Cambria Math" w:ascii="Cambria Math" w:hAnsi="Cambria Math"/>
        </w:rPr>
        <w:t xml:space="preserve"> sin </w:t>
      </w:r>
      <w:r>
        <w:rPr>
          <w:rFonts w:cs="Cambria Math" w:ascii="Cambria Math" w:hAnsi="Cambria Math"/>
          <w:i/>
          <w:iCs/>
        </w:rPr>
        <w:t>e</w:t>
      </w:r>
      <w:r>
        <w:rPr>
          <w:rFonts w:cs="Cambria Math" w:ascii="Cambria Math" w:hAnsi="Cambria Math"/>
          <w:i/>
          <w:iCs/>
          <w:sz w:val="18"/>
          <w:szCs w:val="18"/>
          <w:vertAlign w:val="subscript"/>
        </w:rPr>
        <w:t>θ</w:t>
      </w:r>
      <w:r>
        <w:rPr/>
        <w:tab/>
      </w:r>
      <w:r>
        <w:rPr>
          <w:rFonts w:cs="Cambria Math" w:ascii="Cambria Math" w:hAnsi="Cambria Math"/>
        </w:rPr>
        <w:t>(4’)</w:t>
      </w:r>
    </w:p>
    <w:p>
      <w:pPr>
        <w:pStyle w:val="BodyText"/>
        <w:rPr/>
      </w:pPr>
      <w:r>
        <w:rPr/>
        <w:t>Equations (3)–(4) decouple the tracking problem into a longitudinal channel (</w:t>
      </w:r>
      <w:r>
        <w:rPr>
          <w:i/>
          <w:iCs/>
        </w:rPr>
        <w:t>e_x</w:t>
      </w:r>
      <w:r>
        <w:rPr/>
        <w:t>), a lateral channel (</w:t>
      </w:r>
      <w:r>
        <w:rPr>
          <w:i/>
          <w:iCs/>
        </w:rPr>
        <w:t>e_y</w:t>
      </w:r>
      <w:r>
        <w:rPr/>
        <w:t>), and a heading channel (</w:t>
      </w:r>
      <w:r>
        <w:rPr>
          <w:i/>
          <w:iCs/>
        </w:rPr>
        <w:t>e_θ</w:t>
      </w:r>
      <w:r>
        <w:rPr/>
        <w:t xml:space="preserve">), with </w:t>
      </w:r>
      <w:r>
        <w:rPr>
          <w:i/>
          <w:iCs/>
        </w:rPr>
        <w:t>e_y</w:t>
      </w:r>
      <w:r>
        <w:rPr/>
        <w:t xml:space="preserve"> driven only indirectly through the heading channel. This structure is the basis for the sliding-surface design in Section III.</w:t>
      </w:r>
    </w:p>
    <w:p>
      <w:pPr>
        <w:pStyle w:val="Heading2"/>
        <w:rPr/>
      </w:pPr>
      <w:r>
        <w:rPr/>
        <w:t>Dynamic Model and Simulation Assumptions</w:t>
      </w:r>
    </w:p>
    <w:p>
      <w:pPr>
        <w:pStyle w:val="BodyText"/>
        <w:rPr/>
      </w:pPr>
      <w:r>
        <w:rPr/>
        <w:t>For simulation, the kinematic model above is cascaded with a Newton-Euler dynamic model of the robot body. Neglecting lateral wheel slip, the translational and rotational dynamics are</w:t>
      </w:r>
    </w:p>
    <w:p>
      <w:pPr>
        <w:pStyle w:val="equation"/>
        <w:rPr/>
      </w:pPr>
      <w:r>
        <w:rPr/>
        <w:tab/>
      </w:r>
      <w:r>
        <w:rPr>
          <w:rFonts w:cs="Cambria Math" w:ascii="Cambria Math" w:hAnsi="Cambria Math"/>
          <w:i/>
          <w:iCs/>
        </w:rPr>
        <w:t>mv</w:t>
      </w:r>
      <w:r>
        <w:rPr>
          <w:rFonts w:cs="Cambria Math" w:ascii="Cambria Math" w:hAnsi="Cambria Math"/>
          <w:i/>
          <w:iCs/>
          <w:sz w:val="18"/>
          <w:szCs w:val="18"/>
          <w:vertAlign w:val="subscript"/>
        </w:rPr>
        <w:t>′</w:t>
      </w:r>
      <w:r>
        <w:rPr>
          <w:rFonts w:cs="Cambria Math" w:ascii="Cambria Math" w:hAnsi="Cambria Math"/>
        </w:rPr>
        <w:t xml:space="preserve">= </w:t>
      </w:r>
      <w:r>
        <w:rPr>
          <w:rFonts w:cs="Cambria Math" w:ascii="Cambria Math" w:hAnsi="Cambria Math"/>
          <w:i/>
          <w:iCs/>
        </w:rPr>
        <w:t>F</w:t>
      </w:r>
      <w:r>
        <w:rPr>
          <w:rFonts w:cs="Cambria Math" w:ascii="Cambria Math" w:hAnsi="Cambria Math"/>
        </w:rPr>
        <w:t xml:space="preserve"> − </w:t>
      </w:r>
      <w:r>
        <w:rPr>
          <w:rFonts w:cs="Cambria Math" w:ascii="Cambria Math" w:hAnsi="Cambria Math"/>
          <w:i/>
          <w:iCs/>
        </w:rPr>
        <w:t>f</w:t>
      </w:r>
      <w:r>
        <w:rPr>
          <w:rFonts w:cs="Cambria Math" w:ascii="Cambria Math" w:hAnsi="Cambria Math"/>
          <w:i/>
          <w:iCs/>
          <w:sz w:val="18"/>
          <w:szCs w:val="18"/>
          <w:vertAlign w:val="subscript"/>
        </w:rPr>
        <w:t>v</w:t>
      </w:r>
      <w:r>
        <w:rPr>
          <w:rFonts w:cs="Cambria Math" w:ascii="Cambria Math" w:hAnsi="Cambria Math"/>
          <w:i/>
          <w:iCs/>
        </w:rPr>
        <w:t>v</w:t>
      </w:r>
      <w:r>
        <w:rPr>
          <w:rFonts w:cs="Cambria Math" w:ascii="Cambria Math" w:hAnsi="Cambria Math"/>
        </w:rPr>
        <w:t xml:space="preserve">,   </w:t>
      </w:r>
      <w:r>
        <w:rPr>
          <w:rFonts w:cs="Cambria Math" w:ascii="Cambria Math" w:hAnsi="Cambria Math"/>
          <w:i/>
          <w:iCs/>
        </w:rPr>
        <w:t>Iω</w:t>
      </w:r>
      <w:r>
        <w:rPr>
          <w:rFonts w:cs="Cambria Math" w:ascii="Cambria Math" w:hAnsi="Cambria Math"/>
          <w:i/>
          <w:iCs/>
          <w:sz w:val="18"/>
          <w:szCs w:val="18"/>
          <w:vertAlign w:val="subscript"/>
        </w:rPr>
        <w:t>′</w:t>
      </w:r>
      <w:r>
        <w:rPr>
          <w:rFonts w:cs="Cambria Math" w:ascii="Cambria Math" w:hAnsi="Cambria Math"/>
        </w:rPr>
        <w:t xml:space="preserve">= </w:t>
      </w:r>
      <w:r>
        <w:rPr>
          <w:rFonts w:cs="Cambria Math" w:ascii="Cambria Math" w:hAnsi="Cambria Math"/>
          <w:i/>
          <w:iCs/>
        </w:rPr>
        <w:t>τ</w:t>
      </w:r>
      <w:r>
        <w:rPr>
          <w:rFonts w:cs="Cambria Math" w:ascii="Cambria Math" w:hAnsi="Cambria Math"/>
        </w:rPr>
        <w:t xml:space="preserve"> − </w:t>
      </w:r>
      <w:r>
        <w:rPr>
          <w:rFonts w:cs="Cambria Math" w:ascii="Cambria Math" w:hAnsi="Cambria Math"/>
          <w:i/>
          <w:iCs/>
        </w:rPr>
        <w:t>f</w:t>
      </w:r>
      <w:r>
        <w:rPr>
          <w:rFonts w:cs="Cambria Math" w:ascii="Cambria Math" w:hAnsi="Cambria Math"/>
          <w:i/>
          <w:iCs/>
          <w:sz w:val="18"/>
          <w:szCs w:val="18"/>
          <w:vertAlign w:val="subscript"/>
        </w:rPr>
        <w:t>ω</w:t>
      </w:r>
      <w:r>
        <w:rPr>
          <w:rFonts w:cs="Cambria Math" w:ascii="Cambria Math" w:hAnsi="Cambria Math"/>
          <w:i/>
          <w:iCs/>
        </w:rPr>
        <w:t>ω</w:t>
      </w:r>
      <w:r>
        <w:rPr/>
        <w:tab/>
      </w:r>
      <w:r>
        <w:rPr>
          <w:rFonts w:cs="Cambria Math" w:ascii="Cambria Math" w:hAnsi="Cambria Math"/>
        </w:rPr>
        <w:t>(5)</w:t>
      </w:r>
    </w:p>
    <w:p>
      <w:pPr>
        <w:pStyle w:val="BodyText"/>
        <w:rPr/>
      </w:pPr>
      <w:r>
        <w:rPr/>
        <w:t xml:space="preserve">where </w:t>
      </w:r>
      <w:r>
        <w:rPr>
          <w:i/>
          <w:iCs/>
        </w:rPr>
        <w:t>m</w:t>
      </w:r>
      <w:r>
        <w:rPr/>
        <w:t xml:space="preserve"> and </w:t>
      </w:r>
      <w:r>
        <w:rPr>
          <w:i/>
          <w:iCs/>
        </w:rPr>
        <w:t>I</w:t>
      </w:r>
      <w:r>
        <w:rPr/>
        <w:t xml:space="preserve"> are the robot’s mass and yaw moment of inertia, </w:t>
      </w:r>
      <w:r>
        <w:rPr>
          <w:i/>
          <w:iCs/>
        </w:rPr>
        <w:t>F</w:t>
      </w:r>
      <w:r>
        <w:rPr/>
        <w:t xml:space="preserve"> and </w:t>
      </w:r>
      <w:r>
        <w:rPr>
          <w:i/>
          <w:iCs/>
        </w:rPr>
        <w:t>τ</w:t>
      </w:r>
      <w:r>
        <w:rPr/>
        <w:t xml:space="preserve"> are the net driving force and torque produced by the two wheel actuators, and </w:t>
      </w:r>
      <w:r>
        <w:rPr>
          <w:i/>
          <w:iCs/>
        </w:rPr>
        <w:t>fv, fω</w:t>
      </w:r>
      <w:r>
        <w:rPr/>
        <w:t xml:space="preserve"> are viscous-friction coefficients. The wheel actuators themselves are modeled with first-order velocity dynamics and regulated by PID-tuned low-level loops. Gaussian-distributed measurement noise is injected on the simulated encoder and IMU channels to emulate realistic sensing imperfection. This dynamic layer is treated as the plant onto which the kinematic-level BSMC law of Section III is cascaded through the standard backstepping argument: the controller’s commanded </w:t>
      </w:r>
      <w:r>
        <w:rPr>
          <w:i/>
          <w:iCs/>
        </w:rPr>
        <w:t>(v, ω)</w:t>
      </w:r>
      <w:r>
        <w:rPr/>
        <w:t xml:space="preserve"> are tracked by the lower-level wheel velocity loops, whose bandwidth is assumed sufficiently high relative to the outer kinematic loop.</w:t>
      </w:r>
    </w:p>
    <w:p>
      <w:pPr>
        <w:pStyle w:val="Heading1"/>
        <w:ind w:hanging="0"/>
        <w:rPr/>
      </w:pPr>
      <w:r>
        <w:rPr/>
        <w:t>Backstepping Sliding Mode Controller Design</w:t>
      </w:r>
    </w:p>
    <w:p>
      <w:pPr>
        <w:pStyle w:val="Heading2"/>
        <w:rPr/>
      </w:pPr>
      <w:r>
        <w:rPr/>
        <w:t>Kanayama Kinematic Tracking Law as the Backstepping Basis</w:t>
      </w:r>
    </w:p>
    <w:p>
      <w:pPr>
        <w:pStyle w:val="BodyText"/>
        <w:rPr/>
      </w:pPr>
      <w:r>
        <w:rPr/>
        <w:t xml:space="preserve">The Kanayama law [1] defines a nominal kinematic control input </w:t>
      </w:r>
      <w:r>
        <w:rPr>
          <w:i/>
          <w:iCs/>
        </w:rPr>
        <w:t>(v_c, ω_c)</w:t>
      </w:r>
      <w:r>
        <w:rPr/>
        <w:t xml:space="preserve"> that renders the error dynamics (4) globally asymptotically stable under perfect velocity tracking:</w:t>
      </w:r>
    </w:p>
    <w:p>
      <w:pPr>
        <w:pStyle w:val="equation"/>
        <w:rPr/>
      </w:pPr>
      <w:r>
        <w:rPr/>
        <w:tab/>
      </w:r>
      <w:r>
        <w:rPr>
          <w:rFonts w:cs="Cambria Math" w:ascii="Cambria Math" w:hAnsi="Cambria Math"/>
          <w:i/>
          <w:iCs/>
        </w:rPr>
        <w:t>v</w:t>
      </w:r>
      <w:r>
        <w:rPr>
          <w:rFonts w:cs="Cambria Math" w:ascii="Cambria Math" w:hAnsi="Cambria Math"/>
          <w:i/>
          <w:iCs/>
          <w:sz w:val="18"/>
          <w:szCs w:val="18"/>
          <w:vertAlign w:val="subscript"/>
        </w:rPr>
        <w:t>c</w:t>
      </w:r>
      <w:r>
        <w:rPr>
          <w:rFonts w:cs="Cambria Math" w:ascii="Cambria Math" w:hAnsi="Cambria Math"/>
        </w:rPr>
        <w:t xml:space="preserve">= </w:t>
      </w:r>
      <w:r>
        <w:rPr>
          <w:rFonts w:cs="Cambria Math" w:ascii="Cambria Math" w:hAnsi="Cambria Math"/>
          <w:i/>
          <w:iCs/>
        </w:rPr>
        <w:t>v</w:t>
      </w:r>
      <w:r>
        <w:rPr>
          <w:rFonts w:cs="Cambria Math" w:ascii="Cambria Math" w:hAnsi="Cambria Math"/>
          <w:i/>
          <w:iCs/>
          <w:sz w:val="18"/>
          <w:szCs w:val="18"/>
          <w:vertAlign w:val="subscript"/>
        </w:rPr>
        <w:t>d</w:t>
      </w:r>
      <w:r>
        <w:rPr>
          <w:rFonts w:cs="Cambria Math" w:ascii="Cambria Math" w:hAnsi="Cambria Math"/>
        </w:rPr>
        <w:t xml:space="preserve"> cos </w:t>
      </w:r>
      <w:r>
        <w:rPr>
          <w:rFonts w:cs="Cambria Math" w:ascii="Cambria Math" w:hAnsi="Cambria Math"/>
          <w:i/>
          <w:iCs/>
        </w:rPr>
        <w:t>e</w:t>
      </w:r>
      <w:r>
        <w:rPr>
          <w:rFonts w:cs="Cambria Math" w:ascii="Cambria Math" w:hAnsi="Cambria Math"/>
          <w:i/>
          <w:iCs/>
          <w:sz w:val="18"/>
          <w:szCs w:val="18"/>
          <w:vertAlign w:val="subscript"/>
        </w:rPr>
        <w:t>θ</w:t>
      </w:r>
      <w:r>
        <w:rPr>
          <w:rFonts w:cs="Cambria Math" w:ascii="Cambria Math" w:hAnsi="Cambria Math"/>
        </w:rPr>
        <w:t xml:space="preserve"> + </w:t>
      </w:r>
      <w:r>
        <w:rPr>
          <w:rFonts w:cs="Cambria Math" w:ascii="Cambria Math" w:hAnsi="Cambria Math"/>
          <w:i/>
          <w:iCs/>
        </w:rPr>
        <w:t>k</w:t>
      </w:r>
      <w:r>
        <w:rPr>
          <w:rFonts w:cs="Cambria Math" w:ascii="Cambria Math" w:hAnsi="Cambria Math"/>
          <w:i/>
          <w:iCs/>
          <w:sz w:val="18"/>
          <w:szCs w:val="18"/>
          <w:vertAlign w:val="subscript"/>
        </w:rPr>
        <w:t>1</w:t>
      </w:r>
      <w:r>
        <w:rPr>
          <w:rFonts w:cs="Cambria Math" w:ascii="Cambria Math" w:hAnsi="Cambria Math"/>
          <w:i/>
          <w:iCs/>
        </w:rPr>
        <w:t>e</w:t>
      </w:r>
      <w:r>
        <w:rPr>
          <w:rFonts w:cs="Cambria Math" w:ascii="Cambria Math" w:hAnsi="Cambria Math"/>
          <w:i/>
          <w:iCs/>
          <w:sz w:val="18"/>
          <w:szCs w:val="18"/>
          <w:vertAlign w:val="subscript"/>
        </w:rPr>
        <w:t>x</w:t>
      </w:r>
      <w:r>
        <w:rPr>
          <w:rFonts w:cs="Cambria Math" w:ascii="Cambria Math" w:hAnsi="Cambria Math"/>
        </w:rPr>
        <w:t xml:space="preserve">,   </w:t>
      </w:r>
      <w:r>
        <w:rPr>
          <w:rFonts w:cs="Cambria Math" w:ascii="Cambria Math" w:hAnsi="Cambria Math"/>
          <w:i/>
          <w:iCs/>
        </w:rPr>
        <w:t>ω</w:t>
      </w:r>
      <w:r>
        <w:rPr>
          <w:rFonts w:cs="Cambria Math" w:ascii="Cambria Math" w:hAnsi="Cambria Math"/>
          <w:i/>
          <w:iCs/>
          <w:sz w:val="18"/>
          <w:szCs w:val="18"/>
          <w:vertAlign w:val="subscript"/>
        </w:rPr>
        <w:t>c</w:t>
      </w:r>
      <w:r>
        <w:rPr>
          <w:rFonts w:cs="Cambria Math" w:ascii="Cambria Math" w:hAnsi="Cambria Math"/>
        </w:rPr>
        <w:t xml:space="preserve">= </w:t>
      </w:r>
      <w:r>
        <w:rPr>
          <w:rFonts w:cs="Cambria Math" w:ascii="Cambria Math" w:hAnsi="Cambria Math"/>
          <w:i/>
          <w:iCs/>
        </w:rPr>
        <w:t>ω</w:t>
      </w:r>
      <w:r>
        <w:rPr>
          <w:rFonts w:cs="Cambria Math" w:ascii="Cambria Math" w:hAnsi="Cambria Math"/>
          <w:i/>
          <w:iCs/>
          <w:sz w:val="18"/>
          <w:szCs w:val="18"/>
          <w:vertAlign w:val="subscript"/>
        </w:rPr>
        <w:t>d</w:t>
      </w:r>
      <w:r>
        <w:rPr>
          <w:rFonts w:cs="Cambria Math" w:ascii="Cambria Math" w:hAnsi="Cambria Math"/>
        </w:rPr>
        <w:t xml:space="preserve"> + </w:t>
      </w:r>
      <w:r>
        <w:rPr>
          <w:rFonts w:cs="Cambria Math" w:ascii="Cambria Math" w:hAnsi="Cambria Math"/>
          <w:i/>
          <w:iCs/>
        </w:rPr>
        <w:t>k</w:t>
      </w:r>
      <w:r>
        <w:rPr>
          <w:rFonts w:cs="Cambria Math" w:ascii="Cambria Math" w:hAnsi="Cambria Math"/>
          <w:i/>
          <w:iCs/>
          <w:sz w:val="18"/>
          <w:szCs w:val="18"/>
          <w:vertAlign w:val="subscript"/>
        </w:rPr>
        <w:t>2</w:t>
      </w:r>
      <w:r>
        <w:rPr>
          <w:rFonts w:cs="Cambria Math" w:ascii="Cambria Math" w:hAnsi="Cambria Math"/>
          <w:i/>
          <w:iCs/>
        </w:rPr>
        <w:t>v</w:t>
      </w:r>
      <w:r>
        <w:rPr>
          <w:rFonts w:cs="Cambria Math" w:ascii="Cambria Math" w:hAnsi="Cambria Math"/>
          <w:i/>
          <w:iCs/>
          <w:sz w:val="18"/>
          <w:szCs w:val="18"/>
          <w:vertAlign w:val="subscript"/>
        </w:rPr>
        <w:t>d</w:t>
      </w:r>
      <w:r>
        <w:rPr>
          <w:rFonts w:cs="Cambria Math" w:ascii="Cambria Math" w:hAnsi="Cambria Math"/>
          <w:i/>
          <w:iCs/>
        </w:rPr>
        <w:t>e</w:t>
      </w:r>
      <w:r>
        <w:rPr>
          <w:rFonts w:cs="Cambria Math" w:ascii="Cambria Math" w:hAnsi="Cambria Math"/>
          <w:i/>
          <w:iCs/>
          <w:sz w:val="18"/>
          <w:szCs w:val="18"/>
          <w:vertAlign w:val="subscript"/>
        </w:rPr>
        <w:t>y</w:t>
      </w:r>
      <w:r>
        <w:rPr>
          <w:rFonts w:cs="Cambria Math" w:ascii="Cambria Math" w:hAnsi="Cambria Math"/>
        </w:rPr>
        <w:t xml:space="preserve"> + </w:t>
      </w:r>
      <w:r>
        <w:rPr>
          <w:rFonts w:cs="Cambria Math" w:ascii="Cambria Math" w:hAnsi="Cambria Math"/>
          <w:i/>
          <w:iCs/>
        </w:rPr>
        <w:t>k</w:t>
      </w:r>
      <w:r>
        <w:rPr>
          <w:rFonts w:cs="Cambria Math" w:ascii="Cambria Math" w:hAnsi="Cambria Math"/>
          <w:i/>
          <w:iCs/>
          <w:sz w:val="18"/>
          <w:szCs w:val="18"/>
          <w:vertAlign w:val="subscript"/>
        </w:rPr>
        <w:t>3</w:t>
      </w:r>
      <w:r>
        <w:rPr>
          <w:rFonts w:cs="Cambria Math" w:ascii="Cambria Math" w:hAnsi="Cambria Math"/>
        </w:rPr>
        <w:t xml:space="preserve"> sin </w:t>
      </w:r>
      <w:r>
        <w:rPr>
          <w:rFonts w:cs="Cambria Math" w:ascii="Cambria Math" w:hAnsi="Cambria Math"/>
          <w:i/>
          <w:iCs/>
        </w:rPr>
        <w:t>e</w:t>
      </w:r>
      <w:r>
        <w:rPr>
          <w:rFonts w:cs="Cambria Math" w:ascii="Cambria Math" w:hAnsi="Cambria Math"/>
          <w:i/>
          <w:iCs/>
          <w:sz w:val="18"/>
          <w:szCs w:val="18"/>
          <w:vertAlign w:val="subscript"/>
        </w:rPr>
        <w:t>θ</w:t>
      </w:r>
      <w:r>
        <w:rPr/>
        <w:tab/>
      </w:r>
      <w:r>
        <w:rPr>
          <w:rFonts w:cs="Cambria Math" w:ascii="Cambria Math" w:hAnsi="Cambria Math"/>
        </w:rPr>
        <w:t>(6)</w:t>
      </w:r>
    </w:p>
    <w:p>
      <w:pPr>
        <w:pStyle w:val="BodyText"/>
        <w:rPr/>
      </w:pPr>
      <w:r>
        <w:rPr/>
        <w:t xml:space="preserve">with gains </w:t>
      </w:r>
      <w:r>
        <w:rPr>
          <w:i/>
          <w:iCs/>
        </w:rPr>
        <w:t>k1, k2, k3 &gt; 0</w:t>
      </w:r>
      <w:r>
        <w:rPr/>
        <w:t xml:space="preserve">. In the backstepping sense, </w:t>
      </w:r>
      <w:r>
        <w:rPr>
          <w:i/>
          <w:iCs/>
        </w:rPr>
        <w:t>(v_c, ω_c)</w:t>
      </w:r>
      <w:r>
        <w:rPr/>
        <w:t xml:space="preserve"> is treated as a </w:t>
      </w:r>
      <w:r>
        <w:rPr>
          <w:i/>
          <w:iCs/>
        </w:rPr>
        <w:t>virtual</w:t>
      </w:r>
      <w:r>
        <w:rPr/>
        <w:t xml:space="preserve"> desired translational/angular velocity for an outer, dynamic-level loop: because actuator dynamics, parameter uncertainty, and disturbances prevent the real platform from instantaneously achieving </w:t>
      </w:r>
      <w:r>
        <w:rPr>
          <w:i/>
          <w:iCs/>
        </w:rPr>
        <w:t>v = v_c</w:t>
      </w:r>
      <w:r>
        <w:rPr/>
        <w:t xml:space="preserve"> and </w:t>
      </w:r>
      <w:r>
        <w:rPr>
          <w:i/>
          <w:iCs/>
        </w:rPr>
        <w:t>ω = ω_c</w:t>
      </w:r>
      <w:r>
        <w:rPr/>
        <w:t>, a sliding-mode correction term is added on top of (6) to robustly drive the actual velocities toward their virtual targets.</w:t>
      </w:r>
    </w:p>
    <w:p>
      <w:pPr>
        <w:pStyle w:val="Heading2"/>
        <w:rPr/>
      </w:pPr>
      <w:r>
        <w:rPr/>
        <w:t>Sliding Surface Design</w:t>
      </w:r>
    </w:p>
    <w:p>
      <w:pPr>
        <w:pStyle w:val="BodyText"/>
        <w:rPr/>
      </w:pPr>
      <w:r>
        <w:rPr/>
        <w:t>Two sliding surfaces are defined to capture the longitudinal and the coupled heading/lateral tracking error:</w:t>
      </w:r>
    </w:p>
    <w:p>
      <w:pPr>
        <w:pStyle w:val="equation"/>
        <w:rPr/>
      </w:pPr>
      <w:r>
        <w:rPr/>
        <w:tab/>
      </w:r>
      <w:r>
        <w:rPr>
          <w:rFonts w:cs="Cambria Math" w:ascii="Cambria Math" w:hAnsi="Cambria Math"/>
          <w:i/>
          <w:iCs/>
        </w:rPr>
        <w:t>s</w:t>
      </w:r>
      <w:r>
        <w:rPr>
          <w:rFonts w:cs="Cambria Math" w:ascii="Cambria Math" w:hAnsi="Cambria Math"/>
          <w:i/>
          <w:iCs/>
          <w:sz w:val="18"/>
          <w:szCs w:val="18"/>
          <w:vertAlign w:val="subscript"/>
        </w:rPr>
        <w:t>1</w:t>
      </w:r>
      <w:r>
        <w:rPr>
          <w:rFonts w:cs="Cambria Math" w:ascii="Cambria Math" w:hAnsi="Cambria Math"/>
        </w:rPr>
        <w:t xml:space="preserve">= </w:t>
      </w:r>
      <w:r>
        <w:rPr>
          <w:rFonts w:cs="Cambria Math" w:ascii="Cambria Math" w:hAnsi="Cambria Math"/>
          <w:i/>
          <w:iCs/>
        </w:rPr>
        <w:t>e</w:t>
      </w:r>
      <w:r>
        <w:rPr>
          <w:rFonts w:cs="Cambria Math" w:ascii="Cambria Math" w:hAnsi="Cambria Math"/>
          <w:i/>
          <w:iCs/>
          <w:sz w:val="18"/>
          <w:szCs w:val="18"/>
          <w:vertAlign w:val="subscript"/>
        </w:rPr>
        <w:t>x</w:t>
      </w:r>
      <w:r>
        <w:rPr>
          <w:rFonts w:cs="Cambria Math" w:ascii="Cambria Math" w:hAnsi="Cambria Math"/>
        </w:rPr>
        <w:t xml:space="preserve">,   </w:t>
      </w:r>
      <w:r>
        <w:rPr>
          <w:rFonts w:cs="Cambria Math" w:ascii="Cambria Math" w:hAnsi="Cambria Math"/>
          <w:i/>
          <w:iCs/>
        </w:rPr>
        <w:t>s</w:t>
      </w:r>
      <w:r>
        <w:rPr>
          <w:rFonts w:cs="Cambria Math" w:ascii="Cambria Math" w:hAnsi="Cambria Math"/>
          <w:i/>
          <w:iCs/>
          <w:sz w:val="18"/>
          <w:szCs w:val="18"/>
          <w:vertAlign w:val="subscript"/>
        </w:rPr>
        <w:t>2</w:t>
      </w:r>
      <w:r>
        <w:rPr>
          <w:rFonts w:cs="Cambria Math" w:ascii="Cambria Math" w:hAnsi="Cambria Math"/>
        </w:rPr>
        <w:t xml:space="preserve">= </w:t>
      </w:r>
      <w:r>
        <w:rPr>
          <w:rFonts w:cs="Cambria Math" w:ascii="Cambria Math" w:hAnsi="Cambria Math"/>
          <w:i/>
          <w:iCs/>
        </w:rPr>
        <w:t>e</w:t>
      </w:r>
      <w:r>
        <w:rPr>
          <w:rFonts w:cs="Cambria Math" w:ascii="Cambria Math" w:hAnsi="Cambria Math"/>
          <w:i/>
          <w:iCs/>
          <w:sz w:val="18"/>
          <w:szCs w:val="18"/>
          <w:vertAlign w:val="subscript"/>
        </w:rPr>
        <w:t>θ</w:t>
      </w:r>
      <w:r>
        <w:rPr>
          <w:rFonts w:cs="Cambria Math" w:ascii="Cambria Math" w:hAnsi="Cambria Math"/>
        </w:rPr>
        <w:t xml:space="preserve"> + </w:t>
      </w:r>
      <w:r>
        <w:rPr>
          <w:rFonts w:cs="Cambria Math" w:ascii="Cambria Math" w:hAnsi="Cambria Math"/>
          <w:i/>
          <w:iCs/>
        </w:rPr>
        <w:t>ce</w:t>
      </w:r>
      <w:r>
        <w:rPr>
          <w:rFonts w:cs="Cambria Math" w:ascii="Cambria Math" w:hAnsi="Cambria Math"/>
          <w:i/>
          <w:iCs/>
          <w:sz w:val="18"/>
          <w:szCs w:val="18"/>
          <w:vertAlign w:val="subscript"/>
        </w:rPr>
        <w:t>y</w:t>
      </w:r>
      <w:r>
        <w:rPr/>
        <w:tab/>
      </w:r>
      <w:r>
        <w:rPr>
          <w:rFonts w:cs="Cambria Math" w:ascii="Cambria Math" w:hAnsi="Cambria Math"/>
        </w:rPr>
        <w:t>(7)</w:t>
      </w:r>
    </w:p>
    <w:p>
      <w:pPr>
        <w:pStyle w:val="BodyText"/>
        <w:rPr/>
      </w:pPr>
      <w:r>
        <w:rPr/>
        <w:t xml:space="preserve">with coupling gain </w:t>
      </w:r>
      <w:r>
        <w:rPr>
          <w:i/>
          <w:iCs/>
        </w:rPr>
        <w:t>c &gt; 0</w:t>
      </w:r>
      <w:r>
        <w:rPr/>
        <w:t xml:space="preserve">. The surface </w:t>
      </w:r>
      <w:r>
        <w:rPr>
          <w:i/>
          <w:iCs/>
        </w:rPr>
        <w:t>s1</w:t>
      </w:r>
      <w:r>
        <w:rPr/>
        <w:t xml:space="preserve"> directly captures the longitudinal tracking error. Since </w:t>
      </w:r>
      <w:r>
        <w:rPr>
          <w:i/>
          <w:iCs/>
        </w:rPr>
        <w:t>e_y</w:t>
      </w:r>
      <w:r>
        <w:rPr/>
        <w:t xml:space="preserve"> has no direct actuation channel in (4) — it can only be influenced through the heading error via the </w:t>
      </w:r>
      <w:r>
        <w:rPr>
          <w:i/>
          <w:iCs/>
        </w:rPr>
        <w:t>v_d sin e_θ</w:t>
      </w:r>
      <w:r>
        <w:rPr/>
        <w:t xml:space="preserve"> term — the surface </w:t>
      </w:r>
      <w:r>
        <w:rPr>
          <w:i/>
          <w:iCs/>
        </w:rPr>
        <w:t>s2</w:t>
      </w:r>
      <w:r>
        <w:rPr/>
        <w:t xml:space="preserve"> couples </w:t>
      </w:r>
      <w:r>
        <w:rPr>
          <w:i/>
          <w:iCs/>
        </w:rPr>
        <w:t>e_θ</w:t>
      </w:r>
      <w:r>
        <w:rPr/>
        <w:t xml:space="preserve"> and </w:t>
      </w:r>
      <w:r>
        <w:rPr>
          <w:i/>
          <w:iCs/>
        </w:rPr>
        <w:t>e_y</w:t>
      </w:r>
      <w:r>
        <w:rPr/>
        <w:t xml:space="preserve"> so that driving </w:t>
      </w:r>
      <w:r>
        <w:rPr>
          <w:i/>
          <w:iCs/>
        </w:rPr>
        <w:t>s2</w:t>
      </w:r>
      <w:r>
        <w:rPr/>
        <w:t xml:space="preserve"> to zero forces the heading channel to indirectly regulate the lateral error as well.</w:t>
      </w:r>
    </w:p>
    <w:p>
      <w:pPr>
        <w:pStyle w:val="Heading2"/>
        <w:rPr/>
      </w:pPr>
      <w:r>
        <w:rPr/>
        <w:t>Backstepping Sliding Mode Control Law</w:t>
      </w:r>
    </w:p>
    <w:p>
      <w:pPr>
        <w:pStyle w:val="BodyText"/>
        <w:rPr/>
      </w:pPr>
      <w:r>
        <w:rPr/>
        <w:t xml:space="preserve">Differentiating </w:t>
      </w:r>
      <w:r>
        <w:rPr>
          <w:i/>
          <w:iCs/>
        </w:rPr>
        <w:t>s2</w:t>
      </w:r>
      <w:r>
        <w:rPr/>
        <w:t xml:space="preserve"> along (4) gives</w:t>
      </w:r>
    </w:p>
    <w:p>
      <w:pPr>
        <w:pStyle w:val="equation"/>
        <w:rPr/>
      </w:pPr>
      <w:r>
        <w:rPr/>
        <w:tab/>
      </w:r>
      <w:r>
        <w:rPr>
          <w:rFonts w:cs="Cambria Math" w:ascii="Cambria Math" w:hAnsi="Cambria Math"/>
          <w:i/>
          <w:iCs/>
        </w:rPr>
        <w:t>s′</w:t>
      </w:r>
      <w:r>
        <w:rPr>
          <w:rFonts w:cs="Cambria Math" w:ascii="Cambria Math" w:hAnsi="Cambria Math"/>
          <w:i/>
          <w:iCs/>
          <w:sz w:val="18"/>
          <w:szCs w:val="18"/>
          <w:vertAlign w:val="subscript"/>
        </w:rPr>
        <w:t>2</w:t>
      </w:r>
      <w:r>
        <w:rPr>
          <w:rFonts w:cs="Cambria Math" w:ascii="Cambria Math" w:hAnsi="Cambria Math"/>
        </w:rPr>
        <w:t>= (</w:t>
      </w:r>
      <w:r>
        <w:rPr>
          <w:rFonts w:cs="Cambria Math" w:ascii="Cambria Math" w:hAnsi="Cambria Math"/>
          <w:i/>
          <w:iCs/>
        </w:rPr>
        <w:t>ω</w:t>
      </w:r>
      <w:r>
        <w:rPr>
          <w:rFonts w:cs="Cambria Math" w:ascii="Cambria Math" w:hAnsi="Cambria Math"/>
          <w:i/>
          <w:iCs/>
          <w:sz w:val="18"/>
          <w:szCs w:val="18"/>
          <w:vertAlign w:val="subscript"/>
        </w:rPr>
        <w:t>d</w:t>
      </w:r>
      <w:r>
        <w:rPr>
          <w:rFonts w:cs="Cambria Math" w:ascii="Cambria Math" w:hAnsi="Cambria Math"/>
        </w:rPr>
        <w:t xml:space="preserve"> − </w:t>
      </w:r>
      <w:r>
        <w:rPr>
          <w:rFonts w:cs="Cambria Math" w:ascii="Cambria Math" w:hAnsi="Cambria Math"/>
          <w:i/>
          <w:iCs/>
        </w:rPr>
        <w:t>ω</w:t>
      </w:r>
      <w:r>
        <w:rPr>
          <w:rFonts w:cs="Cambria Math" w:ascii="Cambria Math" w:hAnsi="Cambria Math"/>
        </w:rPr>
        <w:t xml:space="preserve">) + </w:t>
      </w:r>
      <w:r>
        <w:rPr>
          <w:rFonts w:cs="Cambria Math" w:ascii="Cambria Math" w:hAnsi="Cambria Math"/>
          <w:i/>
          <w:iCs/>
        </w:rPr>
        <w:t>c</w:t>
      </w:r>
      <w:r>
        <w:rPr>
          <w:rFonts w:cs="Cambria Math" w:ascii="Cambria Math" w:hAnsi="Cambria Math"/>
        </w:rPr>
        <w:t>(−</w:t>
      </w:r>
      <w:r>
        <w:rPr>
          <w:rFonts w:cs="Cambria Math" w:ascii="Cambria Math" w:hAnsi="Cambria Math"/>
          <w:i/>
          <w:iCs/>
        </w:rPr>
        <w:t>ωe</w:t>
      </w:r>
      <w:r>
        <w:rPr>
          <w:rFonts w:cs="Cambria Math" w:ascii="Cambria Math" w:hAnsi="Cambria Math"/>
          <w:i/>
          <w:iCs/>
          <w:sz w:val="18"/>
          <w:szCs w:val="18"/>
          <w:vertAlign w:val="subscript"/>
        </w:rPr>
        <w:t>x</w:t>
      </w:r>
      <w:r>
        <w:rPr>
          <w:rFonts w:cs="Cambria Math" w:ascii="Cambria Math" w:hAnsi="Cambria Math"/>
        </w:rPr>
        <w:t xml:space="preserve"> + </w:t>
      </w:r>
      <w:r>
        <w:rPr>
          <w:rFonts w:cs="Cambria Math" w:ascii="Cambria Math" w:hAnsi="Cambria Math"/>
          <w:i/>
          <w:iCs/>
        </w:rPr>
        <w:t>v</w:t>
      </w:r>
      <w:r>
        <w:rPr>
          <w:rFonts w:cs="Cambria Math" w:ascii="Cambria Math" w:hAnsi="Cambria Math"/>
          <w:i/>
          <w:iCs/>
          <w:sz w:val="18"/>
          <w:szCs w:val="18"/>
          <w:vertAlign w:val="subscript"/>
        </w:rPr>
        <w:t>d</w:t>
      </w:r>
      <w:r>
        <w:rPr>
          <w:rFonts w:cs="Cambria Math" w:ascii="Cambria Math" w:hAnsi="Cambria Math"/>
        </w:rPr>
        <w:t xml:space="preserve"> sin </w:t>
      </w:r>
      <w:r>
        <w:rPr>
          <w:rFonts w:cs="Cambria Math" w:ascii="Cambria Math" w:hAnsi="Cambria Math"/>
          <w:i/>
          <w:iCs/>
        </w:rPr>
        <w:t>e</w:t>
      </w:r>
      <w:r>
        <w:rPr>
          <w:rFonts w:cs="Cambria Math" w:ascii="Cambria Math" w:hAnsi="Cambria Math"/>
          <w:i/>
          <w:iCs/>
          <w:sz w:val="18"/>
          <w:szCs w:val="18"/>
          <w:vertAlign w:val="subscript"/>
        </w:rPr>
        <w:t>θ</w:t>
      </w:r>
      <w:r>
        <w:rPr>
          <w:rFonts w:cs="Cambria Math" w:ascii="Cambria Math" w:hAnsi="Cambria Math"/>
        </w:rPr>
        <w:t>)</w:t>
      </w:r>
      <w:r>
        <w:rPr/>
        <w:tab/>
      </w:r>
      <w:r>
        <w:rPr>
          <w:rFonts w:cs="Cambria Math" w:ascii="Cambria Math" w:hAnsi="Cambria Math"/>
        </w:rPr>
        <w:t>(8)</w:t>
      </w:r>
    </w:p>
    <w:p>
      <w:pPr>
        <w:pStyle w:val="BodyText"/>
        <w:rPr/>
      </w:pPr>
      <w:r>
        <w:rPr>
          <w:i/>
          <w:iCs/>
        </w:rPr>
        <w:t>Remark (formula-to-implementation consistency).</w:t>
      </w:r>
      <w:r>
        <w:rPr/>
        <w:t xml:space="preserve"> In an earlier version of our implementation, the controller substituted a constant nominal desired velocity, denoted </w:t>
      </w:r>
      <w:r>
        <w:rPr>
          <w:i/>
          <w:iCs/>
        </w:rPr>
        <w:t>VD</w:t>
      </w:r>
      <w:r>
        <w:rPr/>
        <w:t xml:space="preserve"> and equal to the value used during gain tuning, into the </w:t>
      </w:r>
      <w:r>
        <w:rPr>
          <w:i/>
          <w:iCs/>
        </w:rPr>
        <w:t>v_d</w:t>
      </w:r>
      <w:r>
        <w:rPr/>
        <w:t xml:space="preserve"> term of (8)/(9a)–(9b) instead of the genuinely time-varying desired-velocity profile </w:t>
      </w:r>
      <w:r>
        <w:rPr>
          <w:i/>
          <w:iCs/>
        </w:rPr>
        <w:t>v_d(t)</w:t>
      </w:r>
      <w:r>
        <w:rPr/>
        <w:t xml:space="preserve"> produced online by the trajectory generator. For the constant-speed circular reference used in this study, </w:t>
      </w:r>
      <w:r>
        <w:rPr>
          <w:i/>
          <w:iCs/>
        </w:rPr>
        <w:t>VD</w:t>
      </w:r>
      <w:r>
        <w:rPr/>
        <w:t xml:space="preserve"> and </w:t>
      </w:r>
      <w:r>
        <w:rPr>
          <w:i/>
          <w:iCs/>
        </w:rPr>
        <w:t>v_d(t)</w:t>
      </w:r>
      <w:r>
        <w:rPr/>
        <w:t xml:space="preserve"> coincide and the substitution has no observable effect; however, for a general, time-varying trajectory the mismatch introduces an additional, disturbance-like term proportional to </w:t>
      </w:r>
      <w:r>
        <w:rPr>
          <w:i/>
          <w:iCs/>
        </w:rPr>
        <w:t>(v_d(t) − VD)</w:t>
      </w:r>
      <w:r>
        <w:rPr/>
        <w:t xml:space="preserve"> that is not accounted for in the Lyapunov derivative of Section III-E. We therefore use </w:t>
      </w:r>
      <w:r>
        <w:rPr>
          <w:i/>
          <w:iCs/>
        </w:rPr>
        <w:t>v_d(t)</w:t>
      </w:r>
      <w:r>
        <w:rPr/>
        <w:t xml:space="preserve"> consistently throughout (6)–(9b) and recommend verifying this substitution token-by-token whenever a Lyapunov-based law of this type is ported from its symbolic derivation into embedded code.</w:t>
      </w:r>
    </w:p>
    <w:p>
      <w:pPr>
        <w:pStyle w:val="BodyText"/>
        <w:rPr/>
      </w:pPr>
      <w:r>
        <w:rPr/>
        <w:t>Combining the nominal Kanayama terms with a sliding-mode correction on each surface gives the proposed BSMC law:</w:t>
      </w:r>
    </w:p>
    <w:p>
      <w:pPr>
        <w:pStyle w:val="equation"/>
        <w:rPr/>
      </w:pPr>
      <w:r>
        <w:rPr/>
        <w:tab/>
      </w:r>
      <w:r>
        <w:rPr>
          <w:rFonts w:cs="Cambria Math" w:ascii="Cambria Math" w:hAnsi="Cambria Math"/>
          <w:i/>
          <w:iCs/>
        </w:rPr>
        <w:t>v</w:t>
      </w:r>
      <w:r>
        <w:rPr>
          <w:rFonts w:cs="Cambria Math" w:ascii="Cambria Math" w:hAnsi="Cambria Math"/>
        </w:rPr>
        <w:t xml:space="preserve">= </w:t>
      </w:r>
      <w:r>
        <w:rPr>
          <w:rFonts w:cs="Cambria Math" w:ascii="Cambria Math" w:hAnsi="Cambria Math"/>
          <w:i/>
          <w:iCs/>
        </w:rPr>
        <w:t>v</w:t>
      </w:r>
      <w:r>
        <w:rPr>
          <w:rFonts w:cs="Cambria Math" w:ascii="Cambria Math" w:hAnsi="Cambria Math"/>
          <w:i/>
          <w:iCs/>
          <w:sz w:val="18"/>
          <w:szCs w:val="18"/>
          <w:vertAlign w:val="subscript"/>
        </w:rPr>
        <w:t>d</w:t>
      </w:r>
      <w:r>
        <w:rPr>
          <w:rFonts w:cs="Cambria Math" w:ascii="Cambria Math" w:hAnsi="Cambria Math"/>
        </w:rPr>
        <w:t xml:space="preserve"> cos </w:t>
      </w:r>
      <w:r>
        <w:rPr>
          <w:rFonts w:cs="Cambria Math" w:ascii="Cambria Math" w:hAnsi="Cambria Math"/>
          <w:i/>
          <w:iCs/>
        </w:rPr>
        <w:t>e</w:t>
      </w:r>
      <w:r>
        <w:rPr>
          <w:rFonts w:cs="Cambria Math" w:ascii="Cambria Math" w:hAnsi="Cambria Math"/>
          <w:i/>
          <w:iCs/>
          <w:sz w:val="18"/>
          <w:szCs w:val="18"/>
          <w:vertAlign w:val="subscript"/>
        </w:rPr>
        <w:t>θ</w:t>
      </w:r>
      <w:r>
        <w:rPr>
          <w:rFonts w:cs="Cambria Math" w:ascii="Cambria Math" w:hAnsi="Cambria Math"/>
        </w:rPr>
        <w:t xml:space="preserve"> + </w:t>
      </w:r>
      <w:r>
        <w:rPr>
          <w:rFonts w:cs="Cambria Math" w:ascii="Cambria Math" w:hAnsi="Cambria Math"/>
          <w:i/>
          <w:iCs/>
        </w:rPr>
        <w:t>k</w:t>
      </w:r>
      <w:r>
        <w:rPr>
          <w:rFonts w:cs="Cambria Math" w:ascii="Cambria Math" w:hAnsi="Cambria Math"/>
          <w:i/>
          <w:iCs/>
          <w:sz w:val="18"/>
          <w:szCs w:val="18"/>
          <w:vertAlign w:val="subscript"/>
        </w:rPr>
        <w:t>1</w:t>
      </w:r>
      <w:r>
        <w:rPr>
          <w:rFonts w:cs="Cambria Math" w:ascii="Cambria Math" w:hAnsi="Cambria Math"/>
          <w:i/>
          <w:iCs/>
        </w:rPr>
        <w:t>e</w:t>
      </w:r>
      <w:r>
        <w:rPr>
          <w:rFonts w:cs="Cambria Math" w:ascii="Cambria Math" w:hAnsi="Cambria Math"/>
          <w:i/>
          <w:iCs/>
          <w:sz w:val="18"/>
          <w:szCs w:val="18"/>
          <w:vertAlign w:val="subscript"/>
        </w:rPr>
        <w:t>x</w:t>
      </w:r>
      <w:r>
        <w:rPr>
          <w:rFonts w:cs="Cambria Math" w:ascii="Cambria Math" w:hAnsi="Cambria Math"/>
        </w:rPr>
        <w:t xml:space="preserve"> + </w:t>
      </w:r>
      <w:r>
        <w:rPr>
          <w:rFonts w:cs="Cambria Math" w:ascii="Cambria Math" w:hAnsi="Cambria Math"/>
          <w:i/>
          <w:iCs/>
        </w:rPr>
        <w:t>K</w:t>
      </w:r>
      <w:r>
        <w:rPr>
          <w:rFonts w:cs="Cambria Math" w:ascii="Cambria Math" w:hAnsi="Cambria Math"/>
          <w:i/>
          <w:iCs/>
          <w:sz w:val="18"/>
          <w:szCs w:val="18"/>
          <w:vertAlign w:val="subscript"/>
        </w:rPr>
        <w:t>s1</w:t>
      </w:r>
      <w:r>
        <w:rPr>
          <w:rFonts w:cs="Cambria Math" w:ascii="Cambria Math" w:hAnsi="Cambria Math"/>
        </w:rPr>
        <w:t xml:space="preserve"> sat(</w:t>
      </w:r>
      <w:r>
        <w:rPr>
          <w:rFonts w:cs="Cambria Math" w:ascii="Cambria Math" w:hAnsi="Cambria Math"/>
          <w:i/>
          <w:iCs/>
        </w:rPr>
        <w:t>s</w:t>
      </w:r>
      <w:r>
        <w:rPr>
          <w:rFonts w:cs="Cambria Math" w:ascii="Cambria Math" w:hAnsi="Cambria Math"/>
          <w:i/>
          <w:iCs/>
          <w:sz w:val="18"/>
          <w:szCs w:val="18"/>
          <w:vertAlign w:val="subscript"/>
        </w:rPr>
        <w:t>1</w:t>
      </w:r>
      <w:r>
        <w:rPr>
          <w:rFonts w:cs="Cambria Math" w:ascii="Cambria Math" w:hAnsi="Cambria Math"/>
        </w:rPr>
        <w:t>)</w:t>
      </w:r>
      <w:r>
        <w:rPr/>
        <w:tab/>
      </w:r>
      <w:r>
        <w:rPr>
          <w:rFonts w:cs="Cambria Math" w:ascii="Cambria Math" w:hAnsi="Cambria Math"/>
        </w:rPr>
        <w:t>(9a)</w:t>
      </w:r>
    </w:p>
    <w:p>
      <w:pPr>
        <w:pStyle w:val="equation"/>
        <w:rPr/>
      </w:pPr>
      <w:r>
        <w:rPr/>
        <w:tab/>
      </w:r>
      <w:r>
        <w:rPr>
          <w:rFonts w:cs="Cambria Math" w:ascii="Cambria Math" w:hAnsi="Cambria Math"/>
          <w:i/>
          <w:iCs/>
        </w:rPr>
        <w:t>ω</w:t>
      </w:r>
      <w:r>
        <w:rPr>
          <w:rFonts w:cs="Cambria Math" w:ascii="Cambria Math" w:hAnsi="Cambria Math"/>
        </w:rPr>
        <w:t xml:space="preserve">= </w:t>
      </w:r>
      <w:r>
        <w:rPr>
          <w:rFonts w:cs="Cambria Math" w:ascii="Cambria Math" w:hAnsi="Cambria Math"/>
          <w:i/>
          <w:iCs/>
        </w:rPr>
        <w:t>ω</w:t>
      </w:r>
      <w:r>
        <w:rPr>
          <w:rFonts w:cs="Cambria Math" w:ascii="Cambria Math" w:hAnsi="Cambria Math"/>
          <w:i/>
          <w:iCs/>
          <w:sz w:val="18"/>
          <w:szCs w:val="18"/>
          <w:vertAlign w:val="subscript"/>
        </w:rPr>
        <w:t>d</w:t>
      </w:r>
      <w:r>
        <w:rPr>
          <w:rFonts w:cs="Cambria Math" w:ascii="Cambria Math" w:hAnsi="Cambria Math"/>
        </w:rPr>
        <w:t xml:space="preserve"> + </w:t>
      </w:r>
      <w:r>
        <w:rPr>
          <w:rFonts w:cs="Cambria Math" w:ascii="Cambria Math" w:hAnsi="Cambria Math"/>
          <w:i/>
          <w:iCs/>
        </w:rPr>
        <w:t>k</w:t>
      </w:r>
      <w:r>
        <w:rPr>
          <w:rFonts w:cs="Cambria Math" w:ascii="Cambria Math" w:hAnsi="Cambria Math"/>
          <w:i/>
          <w:iCs/>
          <w:sz w:val="18"/>
          <w:szCs w:val="18"/>
          <w:vertAlign w:val="subscript"/>
        </w:rPr>
        <w:t>2</w:t>
      </w:r>
      <w:r>
        <w:rPr>
          <w:rFonts w:cs="Cambria Math" w:ascii="Cambria Math" w:hAnsi="Cambria Math"/>
          <w:i/>
          <w:iCs/>
        </w:rPr>
        <w:t>v</w:t>
      </w:r>
      <w:r>
        <w:rPr>
          <w:rFonts w:cs="Cambria Math" w:ascii="Cambria Math" w:hAnsi="Cambria Math"/>
          <w:i/>
          <w:iCs/>
          <w:sz w:val="18"/>
          <w:szCs w:val="18"/>
          <w:vertAlign w:val="subscript"/>
        </w:rPr>
        <w:t>d</w:t>
      </w:r>
      <w:r>
        <w:rPr>
          <w:rFonts w:cs="Cambria Math" w:ascii="Cambria Math" w:hAnsi="Cambria Math"/>
          <w:i/>
          <w:iCs/>
        </w:rPr>
        <w:t>e</w:t>
      </w:r>
      <w:r>
        <w:rPr>
          <w:rFonts w:cs="Cambria Math" w:ascii="Cambria Math" w:hAnsi="Cambria Math"/>
          <w:i/>
          <w:iCs/>
          <w:sz w:val="18"/>
          <w:szCs w:val="18"/>
          <w:vertAlign w:val="subscript"/>
        </w:rPr>
        <w:t>y</w:t>
      </w:r>
      <w:r>
        <w:rPr>
          <w:rFonts w:cs="Cambria Math" w:ascii="Cambria Math" w:hAnsi="Cambria Math"/>
        </w:rPr>
        <w:t xml:space="preserve"> + </w:t>
      </w:r>
      <w:r>
        <w:rPr>
          <w:rFonts w:cs="Cambria Math" w:ascii="Cambria Math" w:hAnsi="Cambria Math"/>
          <w:i/>
          <w:iCs/>
        </w:rPr>
        <w:t>k</w:t>
      </w:r>
      <w:r>
        <w:rPr>
          <w:rFonts w:cs="Cambria Math" w:ascii="Cambria Math" w:hAnsi="Cambria Math"/>
          <w:i/>
          <w:iCs/>
          <w:sz w:val="18"/>
          <w:szCs w:val="18"/>
          <w:vertAlign w:val="subscript"/>
        </w:rPr>
        <w:t>3</w:t>
      </w:r>
      <w:r>
        <w:rPr>
          <w:rFonts w:cs="Cambria Math" w:ascii="Cambria Math" w:hAnsi="Cambria Math"/>
        </w:rPr>
        <w:t xml:space="preserve"> sin </w:t>
      </w:r>
      <w:r>
        <w:rPr>
          <w:rFonts w:cs="Cambria Math" w:ascii="Cambria Math" w:hAnsi="Cambria Math"/>
          <w:i/>
          <w:iCs/>
        </w:rPr>
        <w:t>e</w:t>
      </w:r>
      <w:r>
        <w:rPr>
          <w:rFonts w:cs="Cambria Math" w:ascii="Cambria Math" w:hAnsi="Cambria Math"/>
          <w:i/>
          <w:iCs/>
          <w:sz w:val="18"/>
          <w:szCs w:val="18"/>
          <w:vertAlign w:val="subscript"/>
        </w:rPr>
        <w:t>θ</w:t>
      </w:r>
      <w:r>
        <w:rPr>
          <w:rFonts w:cs="Cambria Math" w:ascii="Cambria Math" w:hAnsi="Cambria Math"/>
        </w:rPr>
        <w:t xml:space="preserve"> + </w:t>
      </w:r>
      <w:r>
        <w:rPr>
          <w:rFonts w:cs="Cambria Math" w:ascii="Cambria Math" w:hAnsi="Cambria Math"/>
          <w:i/>
          <w:iCs/>
        </w:rPr>
        <w:t>K</w:t>
      </w:r>
      <w:r>
        <w:rPr>
          <w:rFonts w:cs="Cambria Math" w:ascii="Cambria Math" w:hAnsi="Cambria Math"/>
          <w:i/>
          <w:iCs/>
          <w:sz w:val="18"/>
          <w:szCs w:val="18"/>
          <w:vertAlign w:val="subscript"/>
        </w:rPr>
        <w:t>s2</w:t>
      </w:r>
      <w:r>
        <w:rPr>
          <w:rFonts w:cs="Cambria Math" w:ascii="Cambria Math" w:hAnsi="Cambria Math"/>
        </w:rPr>
        <w:t xml:space="preserve"> sat(</w:t>
      </w:r>
      <w:r>
        <w:rPr>
          <w:rFonts w:cs="Cambria Math" w:ascii="Cambria Math" w:hAnsi="Cambria Math"/>
          <w:i/>
          <w:iCs/>
        </w:rPr>
        <w:t>s</w:t>
      </w:r>
      <w:r>
        <w:rPr>
          <w:rFonts w:cs="Cambria Math" w:ascii="Cambria Math" w:hAnsi="Cambria Math"/>
          <w:i/>
          <w:iCs/>
          <w:sz w:val="18"/>
          <w:szCs w:val="18"/>
          <w:vertAlign w:val="subscript"/>
        </w:rPr>
        <w:t>2</w:t>
      </w:r>
      <w:r>
        <w:rPr>
          <w:rFonts w:cs="Cambria Math" w:ascii="Cambria Math" w:hAnsi="Cambria Math"/>
        </w:rPr>
        <w:t>)</w:t>
      </w:r>
      <w:r>
        <w:rPr/>
        <w:tab/>
      </w:r>
      <w:r>
        <w:rPr>
          <w:rFonts w:cs="Cambria Math" w:ascii="Cambria Math" w:hAnsi="Cambria Math"/>
        </w:rPr>
        <w:t>(9b)</w:t>
      </w:r>
    </w:p>
    <w:p>
      <w:pPr>
        <w:pStyle w:val="BodyText"/>
        <w:rPr/>
      </w:pPr>
      <w:r>
        <w:rPr/>
        <w:t xml:space="preserve">where </w:t>
      </w:r>
      <w:r>
        <w:rPr>
          <w:i/>
          <w:iCs/>
        </w:rPr>
        <w:t>Ks1, Ks2 &gt; 0</w:t>
      </w:r>
      <w:r>
        <w:rPr/>
        <w:t xml:space="preserve"> are the sliding-mode switching gains and </w:t>
      </w:r>
      <w:r>
        <w:rPr>
          <w:i/>
          <w:iCs/>
        </w:rPr>
        <w:t>sat(·)</w:t>
      </w:r>
      <w:r>
        <w:rPr/>
        <w:t xml:space="preserve"> is a continuous approximation of the ideal switching function </w:t>
      </w:r>
      <w:r>
        <w:rPr>
          <w:i/>
          <w:iCs/>
        </w:rPr>
        <w:t>sgn(·)</w:t>
      </w:r>
      <w:r>
        <w:rPr/>
        <w:t>, defined next.</w:t>
      </w:r>
    </w:p>
    <w:p>
      <w:pPr>
        <w:pStyle w:val="Heading2"/>
        <w:rPr/>
      </w:pPr>
      <w:r>
        <w:rPr/>
        <w:t>Chattering Mitigation</w:t>
      </w:r>
    </w:p>
    <w:p>
      <w:pPr>
        <w:pStyle w:val="BodyText"/>
        <w:rPr/>
      </w:pPr>
      <w:r>
        <w:rPr/>
        <w:t xml:space="preserve">The discontinuous </w:t>
      </w:r>
      <w:r>
        <w:rPr>
          <w:i/>
          <w:iCs/>
        </w:rPr>
        <w:t>sgn(·)</w:t>
      </w:r>
      <w:r>
        <w:rPr/>
        <w:t xml:space="preserve"> term that would otherwise appear in (9a)–(9b) is replaced by a continuous hyperbolic-tangent approximation</w:t>
      </w:r>
    </w:p>
    <w:p>
      <w:pPr>
        <w:pStyle w:val="equation"/>
        <w:rPr/>
      </w:pPr>
      <w:r>
        <w:rPr/>
        <w:tab/>
      </w:r>
      <w:r>
        <w:rPr>
          <w:rFonts w:cs="Cambria Math" w:ascii="Cambria Math" w:hAnsi="Cambria Math"/>
        </w:rPr>
        <w:t>sat(</w:t>
      </w:r>
      <w:r>
        <w:rPr>
          <w:rFonts w:cs="Cambria Math" w:ascii="Cambria Math" w:hAnsi="Cambria Math"/>
          <w:i/>
          <w:iCs/>
        </w:rPr>
        <w:t>s</w:t>
      </w:r>
      <w:r>
        <w:rPr>
          <w:rFonts w:cs="Cambria Math" w:ascii="Cambria Math" w:hAnsi="Cambria Math"/>
        </w:rPr>
        <w:t>) = tanh(</w:t>
      </w:r>
      <w:r>
        <w:rPr>
          <w:rFonts w:cs="Cambria Math" w:ascii="Cambria Math" w:hAnsi="Cambria Math"/>
          <w:i/>
          <w:iCs/>
        </w:rPr>
        <w:t>k</w:t>
      </w:r>
      <w:r>
        <w:rPr>
          <w:rFonts w:cs="Cambria Math" w:ascii="Cambria Math" w:hAnsi="Cambria Math"/>
          <w:i/>
          <w:iCs/>
          <w:sz w:val="18"/>
          <w:szCs w:val="18"/>
          <w:vertAlign w:val="subscript"/>
        </w:rPr>
        <w:t>w</w:t>
      </w:r>
      <w:r>
        <w:rPr>
          <w:rFonts w:cs="Cambria Math" w:ascii="Cambria Math" w:hAnsi="Cambria Math"/>
          <w:i/>
          <w:iCs/>
        </w:rPr>
        <w:t>s</w:t>
      </w:r>
      <w:r>
        <w:rPr>
          <w:rFonts w:cs="Cambria Math" w:ascii="Cambria Math" w:hAnsi="Cambria Math"/>
        </w:rPr>
        <w:t>)</w:t>
      </w:r>
      <w:r>
        <w:rPr/>
        <w:tab/>
      </w:r>
      <w:r>
        <w:rPr>
          <w:rFonts w:cs="Cambria Math" w:ascii="Cambria Math" w:hAnsi="Cambria Math"/>
        </w:rPr>
        <w:t>(10)</w:t>
      </w:r>
    </w:p>
    <w:p>
      <w:pPr>
        <w:pStyle w:val="BodyText"/>
        <w:rPr/>
      </w:pPr>
      <w:r>
        <w:rPr/>
        <w:t xml:space="preserve">where the gain </w:t>
      </w:r>
      <w:r>
        <w:rPr>
          <w:i/>
          <w:iCs/>
        </w:rPr>
        <w:t>kw</w:t>
      </w:r>
      <w:r>
        <w:rPr/>
        <w:t xml:space="preserve"> sets the steepness of the transition through the boundary layer around </w:t>
      </w:r>
      <w:r>
        <w:rPr>
          <w:i/>
          <w:iCs/>
        </w:rPr>
        <w:t>s = 0</w:t>
      </w:r>
      <w:r>
        <w:rPr/>
        <w:t xml:space="preserve">. Larger </w:t>
      </w:r>
      <w:r>
        <w:rPr>
          <w:i/>
          <w:iCs/>
        </w:rPr>
        <w:t>kw</w:t>
      </w:r>
      <w:r>
        <w:rPr/>
        <w:t xml:space="preserve"> makes (10) approach </w:t>
      </w:r>
      <w:r>
        <w:rPr>
          <w:i/>
          <w:iCs/>
        </w:rPr>
        <w:t>sgn(·)</w:t>
      </w:r>
      <w:r>
        <w:rPr/>
        <w:t xml:space="preserve"> more closely — improving robustness — at the cost of more high-frequency activity in the control signal, so </w:t>
      </w:r>
      <w:r>
        <w:rPr>
          <w:i/>
          <w:iCs/>
        </w:rPr>
        <w:t>kw</w:t>
      </w:r>
      <w:r>
        <w:rPr/>
        <w:t xml:space="preserve"> is tuned as a trade-off between tracking accuracy and actuator/communication-link stress.</w:t>
      </w:r>
    </w:p>
    <w:p>
      <w:pPr>
        <w:pStyle w:val="Heading2"/>
        <w:rPr/>
      </w:pPr>
      <w:r>
        <w:rPr/>
        <w:t>Stability Analysis</w:t>
      </w:r>
    </w:p>
    <w:p>
      <w:pPr>
        <w:pStyle w:val="BodyText"/>
        <w:rPr/>
      </w:pPr>
      <w:r>
        <w:rPr/>
        <w:t>Consider the Lyapunov candidate</w:t>
      </w:r>
    </w:p>
    <w:p>
      <w:pPr>
        <w:pStyle w:val="equation"/>
        <w:rPr/>
      </w:pPr>
      <w:r>
        <w:rPr/>
        <w:tab/>
      </w:r>
      <w:r>
        <w:rPr>
          <w:rFonts w:cs="Cambria Math" w:ascii="Cambria Math" w:hAnsi="Cambria Math"/>
          <w:i/>
          <w:iCs/>
        </w:rPr>
        <w:t>V</w:t>
      </w:r>
      <w:r>
        <w:rPr>
          <w:rFonts w:cs="Cambria Math" w:ascii="Cambria Math" w:hAnsi="Cambria Math"/>
        </w:rPr>
        <w:t xml:space="preserve">= ½ </w:t>
      </w:r>
      <w:r>
        <w:rPr>
          <w:rFonts w:cs="Cambria Math" w:ascii="Cambria Math" w:hAnsi="Cambria Math"/>
          <w:i/>
          <w:iCs/>
        </w:rPr>
        <w:t>s</w:t>
      </w:r>
      <w:r>
        <w:rPr>
          <w:rFonts w:cs="Cambria Math" w:ascii="Cambria Math" w:hAnsi="Cambria Math"/>
          <w:i/>
          <w:iCs/>
          <w:sz w:val="18"/>
          <w:szCs w:val="18"/>
          <w:vertAlign w:val="subscript"/>
        </w:rPr>
        <w:t>1</w:t>
      </w:r>
      <w:r>
        <w:rPr>
          <w:rFonts w:cs="Cambria Math" w:ascii="Cambria Math" w:hAnsi="Cambria Math"/>
          <w:sz w:val="18"/>
          <w:szCs w:val="18"/>
          <w:vertAlign w:val="superscript"/>
        </w:rPr>
        <w:t>2</w:t>
      </w:r>
      <w:r>
        <w:rPr>
          <w:rFonts w:cs="Cambria Math" w:ascii="Cambria Math" w:hAnsi="Cambria Math"/>
        </w:rPr>
        <w:t xml:space="preserve"> + ½ </w:t>
      </w:r>
      <w:r>
        <w:rPr>
          <w:rFonts w:cs="Cambria Math" w:ascii="Cambria Math" w:hAnsi="Cambria Math"/>
          <w:i/>
          <w:iCs/>
        </w:rPr>
        <w:t>s</w:t>
      </w:r>
      <w:r>
        <w:rPr>
          <w:rFonts w:cs="Cambria Math" w:ascii="Cambria Math" w:hAnsi="Cambria Math"/>
          <w:i/>
          <w:iCs/>
          <w:sz w:val="18"/>
          <w:szCs w:val="18"/>
          <w:vertAlign w:val="subscript"/>
        </w:rPr>
        <w:t>2</w:t>
      </w:r>
      <w:r>
        <w:rPr>
          <w:rFonts w:cs="Cambria Math" w:ascii="Cambria Math" w:hAnsi="Cambria Math"/>
          <w:sz w:val="18"/>
          <w:szCs w:val="18"/>
          <w:vertAlign w:val="superscript"/>
        </w:rPr>
        <w:t>2</w:t>
      </w:r>
      <w:r>
        <w:rPr/>
        <w:tab/>
      </w:r>
      <w:r>
        <w:rPr>
          <w:rFonts w:cs="Cambria Math" w:ascii="Cambria Math" w:hAnsi="Cambria Math"/>
        </w:rPr>
        <w:t>(11)</w:t>
      </w:r>
    </w:p>
    <w:p>
      <w:pPr>
        <w:pStyle w:val="BodyText"/>
        <w:rPr/>
      </w:pPr>
      <w:r>
        <w:rPr/>
        <w:t xml:space="preserve">Differentiating </w:t>
      </w:r>
      <w:r>
        <w:rPr>
          <w:i/>
          <w:iCs/>
        </w:rPr>
        <w:t>V</w:t>
      </w:r>
      <w:r>
        <w:rPr/>
        <w:t xml:space="preserve"> along the closed-loop dynamics under (9a)–(9b) yields, after substituting (6)–(8) and using </w:t>
      </w:r>
      <w:r>
        <w:rPr>
          <w:i/>
          <w:iCs/>
        </w:rPr>
        <w:t>v_d(t)</w:t>
      </w:r>
      <w:r>
        <w:rPr/>
        <w:t xml:space="preserve"> consistently as noted above,</w:t>
      </w:r>
    </w:p>
    <w:p>
      <w:pPr>
        <w:pStyle w:val="equation"/>
        <w:rPr/>
      </w:pPr>
      <w:r>
        <w:rPr/>
        <w:tab/>
      </w:r>
      <w:r>
        <w:rPr>
          <w:rFonts w:cs="Cambria Math" w:ascii="Cambria Math" w:hAnsi="Cambria Math"/>
          <w:i/>
          <w:iCs/>
        </w:rPr>
        <w:t>V′</w:t>
      </w:r>
      <w:r>
        <w:rPr>
          <w:rFonts w:cs="Cambria Math" w:ascii="Cambria Math" w:hAnsi="Cambria Math"/>
        </w:rPr>
        <w:t>= −</w:t>
      </w:r>
      <w:r>
        <w:rPr>
          <w:rFonts w:cs="Cambria Math" w:ascii="Cambria Math" w:hAnsi="Cambria Math"/>
          <w:i/>
          <w:iCs/>
        </w:rPr>
        <w:t>k</w:t>
      </w:r>
      <w:r>
        <w:rPr>
          <w:rFonts w:cs="Cambria Math" w:ascii="Cambria Math" w:hAnsi="Cambria Math"/>
          <w:i/>
          <w:iCs/>
          <w:sz w:val="18"/>
          <w:szCs w:val="18"/>
          <w:vertAlign w:val="subscript"/>
        </w:rPr>
        <w:t>1</w:t>
      </w:r>
      <w:r>
        <w:rPr>
          <w:rFonts w:cs="Cambria Math" w:ascii="Cambria Math" w:hAnsi="Cambria Math"/>
          <w:i/>
          <w:iCs/>
        </w:rPr>
        <w:t>s</w:t>
      </w:r>
      <w:r>
        <w:rPr>
          <w:rFonts w:cs="Cambria Math" w:ascii="Cambria Math" w:hAnsi="Cambria Math"/>
          <w:i/>
          <w:iCs/>
          <w:sz w:val="18"/>
          <w:szCs w:val="18"/>
          <w:vertAlign w:val="subscript"/>
        </w:rPr>
        <w:t>1</w:t>
      </w:r>
      <w:r>
        <w:rPr>
          <w:rFonts w:cs="Cambria Math" w:ascii="Cambria Math" w:hAnsi="Cambria Math"/>
          <w:sz w:val="18"/>
          <w:szCs w:val="18"/>
          <w:vertAlign w:val="superscript"/>
        </w:rPr>
        <w:t>2</w:t>
      </w:r>
      <w:r>
        <w:rPr>
          <w:rFonts w:cs="Cambria Math" w:ascii="Cambria Math" w:hAnsi="Cambria Math"/>
        </w:rPr>
        <w:t xml:space="preserve"> − </w:t>
      </w:r>
      <w:r>
        <w:rPr>
          <w:rFonts w:cs="Cambria Math" w:ascii="Cambria Math" w:hAnsi="Cambria Math"/>
          <w:i/>
          <w:iCs/>
        </w:rPr>
        <w:t>K</w:t>
      </w:r>
      <w:r>
        <w:rPr>
          <w:rFonts w:cs="Cambria Math" w:ascii="Cambria Math" w:hAnsi="Cambria Math"/>
          <w:i/>
          <w:iCs/>
          <w:sz w:val="18"/>
          <w:szCs w:val="18"/>
          <w:vertAlign w:val="subscript"/>
        </w:rPr>
        <w:t>s1</w:t>
      </w:r>
      <w:r>
        <w:rPr>
          <w:rFonts w:cs="Cambria Math" w:ascii="Cambria Math" w:hAnsi="Cambria Math"/>
          <w:i/>
          <w:iCs/>
        </w:rPr>
        <w:t>s</w:t>
      </w:r>
      <w:r>
        <w:rPr>
          <w:rFonts w:cs="Cambria Math" w:ascii="Cambria Math" w:hAnsi="Cambria Math"/>
          <w:i/>
          <w:iCs/>
          <w:sz w:val="18"/>
          <w:szCs w:val="18"/>
          <w:vertAlign w:val="subscript"/>
        </w:rPr>
        <w:t>1</w:t>
      </w:r>
      <w:r>
        <w:rPr>
          <w:rFonts w:cs="Cambria Math" w:ascii="Cambria Math" w:hAnsi="Cambria Math"/>
        </w:rPr>
        <w:t xml:space="preserve"> tanh(</w:t>
      </w:r>
      <w:r>
        <w:rPr>
          <w:rFonts w:cs="Cambria Math" w:ascii="Cambria Math" w:hAnsi="Cambria Math"/>
          <w:i/>
          <w:iCs/>
        </w:rPr>
        <w:t>k</w:t>
      </w:r>
      <w:r>
        <w:rPr>
          <w:rFonts w:cs="Cambria Math" w:ascii="Cambria Math" w:hAnsi="Cambria Math"/>
          <w:i/>
          <w:iCs/>
          <w:sz w:val="18"/>
          <w:szCs w:val="18"/>
          <w:vertAlign w:val="subscript"/>
        </w:rPr>
        <w:t>w</w:t>
      </w:r>
      <w:r>
        <w:rPr>
          <w:rFonts w:cs="Cambria Math" w:ascii="Cambria Math" w:hAnsi="Cambria Math"/>
          <w:i/>
          <w:iCs/>
        </w:rPr>
        <w:t>s</w:t>
      </w:r>
      <w:r>
        <w:rPr>
          <w:rFonts w:cs="Cambria Math" w:ascii="Cambria Math" w:hAnsi="Cambria Math"/>
          <w:i/>
          <w:iCs/>
          <w:sz w:val="18"/>
          <w:szCs w:val="18"/>
          <w:vertAlign w:val="subscript"/>
        </w:rPr>
        <w:t>1</w:t>
      </w:r>
      <w:r>
        <w:rPr>
          <w:rFonts w:cs="Cambria Math" w:ascii="Cambria Math" w:hAnsi="Cambria Math"/>
        </w:rPr>
        <w:t xml:space="preserve">) − </w:t>
      </w:r>
      <w:r>
        <w:rPr>
          <w:rFonts w:cs="Cambria Math" w:ascii="Cambria Math" w:hAnsi="Cambria Math"/>
          <w:i/>
          <w:iCs/>
        </w:rPr>
        <w:t>K</w:t>
      </w:r>
      <w:r>
        <w:rPr>
          <w:rFonts w:cs="Cambria Math" w:ascii="Cambria Math" w:hAnsi="Cambria Math"/>
          <w:i/>
          <w:iCs/>
          <w:sz w:val="18"/>
          <w:szCs w:val="18"/>
          <w:vertAlign w:val="subscript"/>
        </w:rPr>
        <w:t>s2</w:t>
      </w:r>
      <w:r>
        <w:rPr>
          <w:rFonts w:cs="Cambria Math" w:ascii="Cambria Math" w:hAnsi="Cambria Math"/>
          <w:i/>
          <w:iCs/>
        </w:rPr>
        <w:t>s</w:t>
      </w:r>
      <w:r>
        <w:rPr>
          <w:rFonts w:cs="Cambria Math" w:ascii="Cambria Math" w:hAnsi="Cambria Math"/>
          <w:i/>
          <w:iCs/>
          <w:sz w:val="18"/>
          <w:szCs w:val="18"/>
          <w:vertAlign w:val="subscript"/>
        </w:rPr>
        <w:t>2</w:t>
      </w:r>
      <w:r>
        <w:rPr>
          <w:rFonts w:cs="Cambria Math" w:ascii="Cambria Math" w:hAnsi="Cambria Math"/>
        </w:rPr>
        <w:t xml:space="preserve"> tanh(</w:t>
      </w:r>
      <w:r>
        <w:rPr>
          <w:rFonts w:cs="Cambria Math" w:ascii="Cambria Math" w:hAnsi="Cambria Math"/>
          <w:i/>
          <w:iCs/>
        </w:rPr>
        <w:t>k</w:t>
      </w:r>
      <w:r>
        <w:rPr>
          <w:rFonts w:cs="Cambria Math" w:ascii="Cambria Math" w:hAnsi="Cambria Math"/>
          <w:i/>
          <w:iCs/>
          <w:sz w:val="18"/>
          <w:szCs w:val="18"/>
          <w:vertAlign w:val="subscript"/>
        </w:rPr>
        <w:t>w</w:t>
      </w:r>
      <w:r>
        <w:rPr>
          <w:rFonts w:cs="Cambria Math" w:ascii="Cambria Math" w:hAnsi="Cambria Math"/>
          <w:i/>
          <w:iCs/>
        </w:rPr>
        <w:t>s</w:t>
      </w:r>
      <w:r>
        <w:rPr>
          <w:rFonts w:cs="Cambria Math" w:ascii="Cambria Math" w:hAnsi="Cambria Math"/>
          <w:i/>
          <w:iCs/>
          <w:sz w:val="18"/>
          <w:szCs w:val="18"/>
          <w:vertAlign w:val="subscript"/>
        </w:rPr>
        <w:t>2</w:t>
      </w:r>
      <w:r>
        <w:rPr>
          <w:rFonts w:cs="Cambria Math" w:ascii="Cambria Math" w:hAnsi="Cambria Math"/>
        </w:rPr>
        <w:t>) + Δ</w:t>
      </w:r>
      <w:r>
        <w:rPr/>
        <w:tab/>
      </w:r>
      <w:r>
        <w:rPr>
          <w:rFonts w:cs="Cambria Math" w:ascii="Cambria Math" w:hAnsi="Cambria Math"/>
        </w:rPr>
        <w:t>(12)</w:t>
      </w:r>
    </w:p>
    <w:p>
      <w:pPr>
        <w:pStyle w:val="BodyText"/>
        <w:rPr/>
      </w:pPr>
      <w:r>
        <w:rPr/>
        <w:t xml:space="preserve">where </w:t>
      </w:r>
      <w:r>
        <w:rPr>
          <w:i/>
          <w:iCs/>
        </w:rPr>
        <w:t>Δ</w:t>
      </w:r>
      <w:r>
        <w:rPr/>
        <w:t xml:space="preserve"> collects the residual cross-coupling and any bounded mismatch terms (e.g., the </w:t>
      </w:r>
      <w:r>
        <w:rPr>
          <w:i/>
          <w:iCs/>
        </w:rPr>
        <w:t>VD</w:t>
      </w:r>
      <w:r>
        <w:rPr/>
        <w:t xml:space="preserve"> vs. </w:t>
      </w:r>
      <w:r>
        <w:rPr>
          <w:i/>
          <w:iCs/>
        </w:rPr>
        <w:t>v_d(t)</w:t>
      </w:r>
      <w:r>
        <w:rPr/>
        <w:t xml:space="preserve"> discrepancy discussed above, when present). Each of the first three terms in (12) is negative (semi-)definite, since </w:t>
      </w:r>
      <w:r>
        <w:rPr>
          <w:i/>
          <w:iCs/>
        </w:rPr>
        <w:t>s·tanh(k_w s) ≥ 0</w:t>
      </w:r>
      <w:r>
        <w:rPr/>
        <w:t xml:space="preserve"> for all </w:t>
      </w:r>
      <w:r>
        <w:rPr>
          <w:i/>
          <w:iCs/>
        </w:rPr>
        <w:t>s</w:t>
      </w:r>
      <w:r>
        <w:rPr/>
        <w:t xml:space="preserve">; hence whenever </w:t>
      </w:r>
      <w:r>
        <w:rPr>
          <w:i/>
          <w:iCs/>
        </w:rPr>
        <w:t>Δ</w:t>
      </w:r>
      <w:r>
        <w:rPr/>
        <w:t xml:space="preserve"> is bounded and dominated by the switching terms — which can always be ensured by choosing </w:t>
      </w:r>
      <w:r>
        <w:rPr>
          <w:i/>
          <w:iCs/>
        </w:rPr>
        <w:t>Ks1, Ks2</w:t>
      </w:r>
      <w:r>
        <w:rPr/>
        <w:t xml:space="preserve"> sufficiently large relative to the bound on </w:t>
      </w:r>
      <w:r>
        <w:rPr>
          <w:i/>
          <w:iCs/>
        </w:rPr>
        <w:t>Δ</w:t>
      </w:r>
      <w:r>
        <w:rPr/>
        <w:t xml:space="preserve"> — </w:t>
      </w:r>
      <w:r>
        <w:rPr>
          <w:i/>
          <w:iCs/>
        </w:rPr>
        <w:t>V′</w:t>
      </w:r>
      <w:r>
        <w:rPr/>
        <w:t xml:space="preserve"> is negative outside a neighborhood of the origin whose size shrinks as </w:t>
      </w:r>
      <w:r>
        <w:rPr>
          <w:i/>
          <w:iCs/>
        </w:rPr>
        <w:t>Ks1, Ks2, kw</w:t>
      </w:r>
      <w:r>
        <w:rPr/>
        <w:t xml:space="preserve"> increase. This yields uniform ultimate boundedness of the sliding variables </w:t>
      </w:r>
      <w:r>
        <w:rPr>
          <w:i/>
          <w:iCs/>
        </w:rPr>
        <w:t>(s1, s2)</w:t>
      </w:r>
      <w:r>
        <w:rPr/>
        <w:t xml:space="preserve">, and therefore of the tracking errors </w:t>
      </w:r>
      <w:r>
        <w:rPr>
          <w:i/>
          <w:iCs/>
        </w:rPr>
        <w:t>(e_x, e_y, e_θ)</w:t>
      </w:r>
      <w:r>
        <w:rPr/>
        <w:t xml:space="preserve">, around the origin. When the </w:t>
      </w:r>
      <w:r>
        <w:rPr>
          <w:i/>
          <w:iCs/>
        </w:rPr>
        <w:t>v_d(t)</w:t>
      </w:r>
      <w:r>
        <w:rPr/>
        <w:t xml:space="preserve"> consistency of the Remark above is respected and disturbances vanish, </w:t>
      </w:r>
      <w:r>
        <w:rPr>
          <w:i/>
          <w:iCs/>
        </w:rPr>
        <w:t>Δ = 0</w:t>
      </w:r>
      <w:r>
        <w:rPr/>
        <w:t xml:space="preserve"> and the bound above tightens to asymptotic convergence, recovering the ideal sliding-mode result </w:t>
      </w:r>
      <w:r>
        <w:rPr>
          <w:i/>
          <w:iCs/>
        </w:rPr>
        <w:t>s1, s2 → 0</w:t>
      </w:r>
      <w:r>
        <w:rPr/>
        <w:t xml:space="preserve">. A complete, term-by-term derivation of (12), including explicit bounds on </w:t>
      </w:r>
      <w:r>
        <w:rPr>
          <w:i/>
          <w:iCs/>
        </w:rPr>
        <w:t>Δ</w:t>
      </w:r>
      <w:r>
        <w:rPr/>
        <w:t>, is given in the underlying thesis report and should be reproduced and verified against the authors’ full working before submission.</w:t>
      </w:r>
    </w:p>
    <w:p>
      <w:pPr>
        <w:pStyle w:val="tablehead"/>
        <w:numPr>
          <w:ilvl w:val="0"/>
          <w:numId w:val="6"/>
        </w:numPr>
        <w:rPr/>
      </w:pPr>
      <w:r>
        <w:rPr/>
        <w:t>Controller and Plant Parameters Used in Simulation and Experiments</w:t>
      </w:r>
    </w:p>
    <w:tbl>
      <w:tblPr>
        <w:tblW w:w="4680" w:type="dxa"/>
        <w:jc w:val="center"/>
        <w:tblInd w:w="0" w:type="dxa"/>
        <w:tblLayout w:type="fixed"/>
        <w:tblCellMar>
          <w:top w:w="0" w:type="dxa"/>
          <w:left w:w="40" w:type="dxa"/>
          <w:bottom w:w="0" w:type="dxa"/>
          <w:right w:w="40" w:type="dxa"/>
        </w:tblCellMar>
      </w:tblPr>
      <w:tblGrid>
        <w:gridCol w:w="2999"/>
        <w:gridCol w:w="1680"/>
      </w:tblGrid>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lhead"/>
              <w:rPr/>
            </w:pPr>
            <w:r>
              <w:rPr/>
              <w:t>Parameter (symbol)</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lhead"/>
              <w:rPr/>
            </w:pPr>
            <w:r>
              <w:rPr/>
              <w:t>Value</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Position-error gain (k1)</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2.50</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Lateral-coupling velocity gain (k2)</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2.50</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Heading-error gain (k3)</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5.00</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Sliding-surface coupling gain (c)</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1.50</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SMC switching gain, surface 1 (Ks1)</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0.008</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SMC switching gain, surface 2 (Ks2)</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0.020</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Boundary-layer steepness (kw)</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20.0</w:t>
            </w:r>
          </w:p>
        </w:tc>
      </w:tr>
    </w:tbl>
    <w:p>
      <w:pPr>
        <w:pStyle w:val="Heading1"/>
        <w:ind w:hanging="0"/>
        <w:rPr/>
      </w:pPr>
      <w:r>
        <w:rPr/>
        <w:t>Low-Cost Hardware and Communication Architecture</w:t>
      </w:r>
    </w:p>
    <w:p>
      <w:pPr>
        <w:pStyle w:val="Heading2"/>
        <w:rPr/>
      </w:pPr>
      <w:r>
        <w:rPr/>
        <w:t>System Overview</w:t>
      </w:r>
    </w:p>
    <w:p>
      <w:pPr>
        <w:pStyle w:val="BodyText"/>
        <w:rPr/>
      </w:pPr>
      <w:r>
        <w:rPr/>
        <w:t>The proposed platform splits processing between a ROS2-based supervisory computer and an onboard low-level controller, connected by a wireless ESP-NOW link rather than a wired fieldbus. The supervisory computer hosts the trajectory generator and the BSMC law of Section III, the EKF state estimator, and a monitoring dashboard; the robot carries an ESP32 module acting as the wireless gateway and an STM32 microcontroller that closes the low-level wheel-velocity loops and drives the motors. This split keeps the high computational cost of state estimation and trajectory generation off the robot while keeping the safety-critical motor-control loop local and deterministic.</w:t>
      </w:r>
    </w:p>
    <w:p>
      <w:pPr>
        <w:pStyle w:val="Normal"/>
        <w:pBdr>
          <w:top w:val="single" w:sz="4" w:space="4" w:color="999999"/>
          <w:bottom w:val="single" w:sz="4" w:space="4" w:color="999999"/>
        </w:pBdr>
        <w:spacing w:before="120" w:after="40"/>
        <w:jc w:val="center"/>
        <w:rPr/>
      </w:pPr>
      <w:r>
        <w:rPr>
          <w:i/>
          <w:iCs/>
          <w:sz w:val="16"/>
          <w:szCs w:val="16"/>
        </w:rPr>
        <w:t>[FIGURE PLACEHOLDER — insert image here]</w:t>
      </w:r>
    </w:p>
    <w:p>
      <w:pPr>
        <w:pStyle w:val="figurecaption"/>
        <w:numPr>
          <w:ilvl w:val="0"/>
          <w:numId w:val="3"/>
        </w:numPr>
        <w:ind w:hanging="0" w:left="0"/>
        <w:rPr/>
      </w:pPr>
      <w:r>
        <w:rPr/>
        <w:t>System architecture of the proposed low-cost BSMC trajectory-tracking platform, showing the ROS2 supervisory nodes, the ESP-NOW wireless link, and the STM32-based motor control unit.</w:t>
      </w:r>
    </w:p>
    <w:p>
      <w:pPr>
        <w:pStyle w:val="Heading2"/>
        <w:rPr/>
      </w:pPr>
      <w:r>
        <w:rPr/>
        <w:t>STM32-Based Motor Control Unit</w:t>
      </w:r>
    </w:p>
    <w:p>
      <w:pPr>
        <w:pStyle w:val="BodyText"/>
        <w:rPr/>
      </w:pPr>
      <w:r>
        <w:rPr/>
        <w:t>The STM32 microcontroller receives wheel-velocity commands derived from (9a)–(9b) over UART, buffered through DMA to avoid blocking the main control loop while frames are received or transmitted. Locally, a discrete PID loop closes the encoder velocity feedback for each wheel independently and outputs PWM duty cycles to the motor drivers; raw encoder counts and timestamps are returned to the supervisory layer for use by the EKF. Running this inner loop locally, rather than over the wireless link, keeps the motor-control bandwidth independent of wireless latency or packet loss.</w:t>
      </w:r>
    </w:p>
    <w:p>
      <w:pPr>
        <w:pStyle w:val="Heading2"/>
        <w:rPr/>
      </w:pPr>
      <w:r>
        <w:rPr/>
        <w:t>ESP-NOW Wireless Communication Protocol</w:t>
      </w:r>
    </w:p>
    <w:p>
      <w:pPr>
        <w:pStyle w:val="BodyText"/>
        <w:rPr/>
      </w:pPr>
      <w:r>
        <w:rPr/>
        <w:t>ESP-NOW is a connectionless Wi-Fi-based protocol defined by Espressif in which application data is carried directly in a vendor-specific action frame, collapsing the upper OSI layers into a single lightweight layer [6]. Because no access-point association or handshake is required, paired ESP32 devices can exchange short data frames with millisecond-level response, which is attractive for closing a real-time control loop wirelessly. Compared with a conventional Wi-Fi socket connection, ESP-NOW removes the TCP/IP and access-point overhead; compared with Bluetooth or Zigbee, it avoids the cost of an additional radio while reusing the same Wi-Fi hardware already present on low-cost ESP32 modules. In our architecture, ESP-NOW carries the velocity commands computed by (9a)–(9b) from the supervisory computer to the robot and returns encoder/IMU telemetry on the reverse link; the exact unicast/broadcast configuration, channel, and payload structure used in the deployed system should be documented here [to be specified].</w:t>
      </w:r>
    </w:p>
    <w:p>
      <w:pPr>
        <w:pStyle w:val="Heading2"/>
        <w:rPr/>
      </w:pPr>
      <w:r>
        <w:rPr/>
        <w:t>EKF-Based State Estimation</w:t>
      </w:r>
    </w:p>
    <w:p>
      <w:pPr>
        <w:pStyle w:val="BodyText"/>
        <w:rPr/>
      </w:pPr>
      <w:r>
        <w:rPr/>
        <w:t>Wheel-odometry estimates derived from the encoder counts are fused with inertial measurements (e.g., gyroscope and accelerometer) using an extended Kalman filter to produce a smoothed pose-and-velocity estimate for the BSMC controller. This mitigates the effects of wheel slip, quantization noise in the encoder readings, and the Gaussian-type measurement noise discussed in Section II-C, and is also the state estimate logged for offline analysis and displayed on the monitoring dashboard.</w:t>
      </w:r>
    </w:p>
    <w:p>
      <w:pPr>
        <w:pStyle w:val="Heading2"/>
        <w:rPr/>
      </w:pPr>
      <w:r>
        <w:rPr/>
        <w:t>ROS2 Software Architecture</w:t>
      </w:r>
    </w:p>
    <w:p>
      <w:pPr>
        <w:pStyle w:val="BodyText"/>
        <w:rPr/>
      </w:pPr>
      <w:r>
        <w:rPr/>
        <w:t>The supervisory software is organized as a small set of ROS2 nodes:</w:t>
      </w:r>
    </w:p>
    <w:p>
      <w:pPr>
        <w:pStyle w:val="bulletlist"/>
        <w:numPr>
          <w:ilvl w:val="0"/>
          <w:numId w:val="2"/>
        </w:numPr>
        <w:ind w:hanging="288" w:left="576"/>
        <w:rPr/>
      </w:pPr>
      <w:r>
        <w:rPr>
          <w:i/>
          <w:iCs/>
        </w:rPr>
        <w:t>bsmc_circle</w:t>
      </w:r>
      <w:r>
        <w:rPr/>
        <w:t xml:space="preserve"> — implements the circular reference-trajectory generator and computes the BSMC velocity command </w:t>
      </w:r>
      <w:r>
        <w:rPr>
          <w:i/>
          <w:iCs/>
        </w:rPr>
        <w:t>(v, ω)</w:t>
      </w:r>
      <w:r>
        <w:rPr/>
        <w:t xml:space="preserve"> from (9a)–(9b) at each control cycle.</w:t>
      </w:r>
    </w:p>
    <w:p>
      <w:pPr>
        <w:pStyle w:val="bulletlist"/>
        <w:numPr>
          <w:ilvl w:val="0"/>
          <w:numId w:val="2"/>
        </w:numPr>
        <w:ind w:hanging="288" w:left="576"/>
        <w:rPr/>
      </w:pPr>
      <w:r>
        <w:rPr>
          <w:i/>
          <w:iCs/>
        </w:rPr>
        <w:t>state_bridge</w:t>
      </w:r>
      <w:r>
        <w:rPr/>
        <w:t xml:space="preserve"> — runs the EKF state estimator and republishes the fused robot state for the controller and the dashboard.</w:t>
      </w:r>
    </w:p>
    <w:p>
      <w:pPr>
        <w:pStyle w:val="bulletlist"/>
        <w:numPr>
          <w:ilvl w:val="0"/>
          <w:numId w:val="2"/>
        </w:numPr>
        <w:ind w:hanging="288" w:left="576"/>
        <w:rPr/>
      </w:pPr>
      <w:r>
        <w:rPr>
          <w:i/>
          <w:iCs/>
        </w:rPr>
        <w:t>robot_serial_bridge</w:t>
      </w:r>
      <w:r>
        <w:rPr/>
        <w:t xml:space="preserve"> — implements the serial/ESP-NOW gateway interface, translating ROS2 messages to and from the wireless link.</w:t>
      </w:r>
    </w:p>
    <w:p>
      <w:pPr>
        <w:pStyle w:val="bulletlist"/>
        <w:numPr>
          <w:ilvl w:val="0"/>
          <w:numId w:val="2"/>
        </w:numPr>
        <w:ind w:hanging="288" w:left="576"/>
        <w:rPr/>
      </w:pPr>
      <w:r>
        <w:rPr>
          <w:i/>
          <w:iCs/>
        </w:rPr>
        <w:t>dashboard_node</w:t>
      </w:r>
      <w:r>
        <w:rPr/>
        <w:t xml:space="preserve"> — provides real-time visualization and logging of the reference trajectory, estimated state, and control signals for monitoring and offline analysis.</w:t>
      </w:r>
    </w:p>
    <w:p>
      <w:pPr>
        <w:pStyle w:val="BodyText"/>
        <w:rPr/>
      </w:pPr>
      <w:r>
        <w:rPr/>
        <w:t>This modular decomposition keeps the trajectory-generation, estimation, communication, and monitoring concerns independently testable, and mirrors the structure used during development and debugging of the controller.</w:t>
      </w:r>
    </w:p>
    <w:p>
      <w:pPr>
        <w:pStyle w:val="Heading1"/>
        <w:ind w:hanging="0"/>
        <w:rPr/>
      </w:pPr>
      <w:r>
        <w:rPr/>
        <w:t>Experimental Methodology</w:t>
      </w:r>
    </w:p>
    <w:p>
      <w:pPr>
        <w:pStyle w:val="Heading2"/>
        <w:rPr/>
      </w:pPr>
      <w:r>
        <w:rPr/>
        <w:t>Simulation Setup</w:t>
      </w:r>
    </w:p>
    <w:p>
      <w:pPr>
        <w:pStyle w:val="BodyText"/>
        <w:rPr/>
      </w:pPr>
      <w:r>
        <w:rPr/>
        <w:t xml:space="preserve">The controller is first validated in MATLAB/Simulink using the Newton-Euler dynamic model and Gaussian sensor-noise model described in Section II-C, with PID-tuned low-level wheel velocity loops and the controller parameters of Table I. The reference trajectory is a circle of radius [to be specified] m traversed at a constant linear speed </w:t>
      </w:r>
      <w:r>
        <w:rPr>
          <w:i/>
          <w:iCs/>
        </w:rPr>
        <w:t>v_d</w:t>
      </w:r>
      <w:r>
        <w:rPr/>
        <w:t xml:space="preserve">, chosen so that, for this particular trajectory, the constant nominal velocity </w:t>
      </w:r>
      <w:r>
        <w:rPr>
          <w:i/>
          <w:iCs/>
        </w:rPr>
        <w:t>VD</w:t>
      </w:r>
      <w:r>
        <w:rPr/>
        <w:t xml:space="preserve"> used during gain tuning coincides with the time-varying </w:t>
      </w:r>
      <w:r>
        <w:rPr>
          <w:i/>
          <w:iCs/>
        </w:rPr>
        <w:t>v_d(t)</w:t>
      </w:r>
      <w:r>
        <w:rPr/>
        <w:t>, sidestepping the consistency issue noted in Section III-C for this initial validation.</w:t>
      </w:r>
    </w:p>
    <w:p>
      <w:pPr>
        <w:pStyle w:val="Heading2"/>
        <w:rPr/>
      </w:pPr>
      <w:r>
        <w:rPr/>
        <w:t>Hardware Experimental Setup</w:t>
      </w:r>
    </w:p>
    <w:p>
      <w:pPr>
        <w:pStyle w:val="BodyText"/>
        <w:rPr/>
      </w:pPr>
      <w:r>
        <w:rPr/>
        <w:t>The controller is then deployed on the physical platform described in Section IV. The robot’s physical and actuator parameters are summarized in Table II; rows marked [TBD] should be filled in with the measured values of the actual hardware before submission.</w:t>
      </w:r>
    </w:p>
    <w:p>
      <w:pPr>
        <w:pStyle w:val="tablehead"/>
        <w:numPr>
          <w:ilvl w:val="0"/>
          <w:numId w:val="6"/>
        </w:numPr>
        <w:rPr/>
      </w:pPr>
      <w:r>
        <w:rPr/>
        <w:t>Robot Physical and Actuator Parameters</w:t>
      </w:r>
    </w:p>
    <w:tbl>
      <w:tblPr>
        <w:tblW w:w="4680" w:type="dxa"/>
        <w:jc w:val="center"/>
        <w:tblInd w:w="0" w:type="dxa"/>
        <w:tblLayout w:type="fixed"/>
        <w:tblCellMar>
          <w:top w:w="0" w:type="dxa"/>
          <w:left w:w="40" w:type="dxa"/>
          <w:bottom w:w="0" w:type="dxa"/>
          <w:right w:w="40" w:type="dxa"/>
        </w:tblCellMar>
      </w:tblPr>
      <w:tblGrid>
        <w:gridCol w:w="2999"/>
        <w:gridCol w:w="1680"/>
      </w:tblGrid>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lhead"/>
              <w:rPr/>
            </w:pPr>
            <w:r>
              <w:rPr/>
              <w:t>Parameter</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lhead"/>
              <w:rPr/>
            </w:pPr>
            <w:r>
              <w:rPr/>
              <w:t>Value</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Wheel radius, r [m]</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Track width (wheelbase), L [m]</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Robot mass, m [kg]</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Drive motor type</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Encoder resolution [pulses/rev]</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Supply voltage [V]</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Motor-control microcontroller</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STM32 [TBD]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Wireless module</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ESP32 (ESP-NOW)</w:t>
            </w:r>
          </w:p>
        </w:tc>
      </w:tr>
    </w:tbl>
    <w:p>
      <w:pPr>
        <w:pStyle w:val="BodyText"/>
        <w:rPr/>
      </w:pPr>
      <w:r>
        <w:rPr/>
        <w:t xml:space="preserve">Tests are conducted on a flat indoor surface of approximately [TBD] m × [TBD] m, with ground-truth reference provided by [TBD, e.g., an overhead camera or motion-capture system, if available]. Telemetry is logged via </w:t>
      </w:r>
      <w:r>
        <w:rPr>
          <w:i/>
          <w:iCs/>
        </w:rPr>
        <w:t>dashboard_node</w:t>
      </w:r>
      <w:r>
        <w:rPr/>
        <w:t xml:space="preserve"> for offline analysis.</w:t>
      </w:r>
    </w:p>
    <w:p>
      <w:pPr>
        <w:pStyle w:val="Heading2"/>
        <w:rPr/>
      </w:pPr>
      <w:r>
        <w:rPr/>
        <w:t>Performance Metrics and Test Design</w:t>
      </w:r>
    </w:p>
    <w:p>
      <w:pPr>
        <w:pStyle w:val="BodyText"/>
        <w:rPr/>
      </w:pPr>
      <w:r>
        <w:rPr/>
        <w:t xml:space="preserve">Tracking performance is quantified using the position root-mean-square error (RMSE) of </w:t>
      </w:r>
      <w:r>
        <w:rPr>
          <w:i/>
          <w:iCs/>
        </w:rPr>
        <w:t>e_x</w:t>
      </w:r>
      <w:r>
        <w:rPr/>
        <w:t xml:space="preserve"> and </w:t>
      </w:r>
      <w:r>
        <w:rPr>
          <w:i/>
          <w:iCs/>
        </w:rPr>
        <w:t>e_y</w:t>
      </w:r>
      <w:r>
        <w:rPr/>
        <w:t xml:space="preserve">, the heading RMSE of </w:t>
      </w:r>
      <w:r>
        <w:rPr>
          <w:i/>
          <w:iCs/>
        </w:rPr>
        <w:t>e_θ</w:t>
      </w:r>
      <w:r>
        <w:rPr/>
        <w:t xml:space="preserve">, the maximum tracking error observed during a run, the convergence (settling) time required for the tracking error to enter a pre-defined error boundary, and the maximum forward speed at which tracking remains within that boundary. For a logged run of </w:t>
      </w:r>
      <w:r>
        <w:rPr>
          <w:i/>
          <w:iCs/>
        </w:rPr>
        <w:t>N</w:t>
      </w:r>
      <w:r>
        <w:rPr/>
        <w:t xml:space="preserve"> samples </w:t>
      </w:r>
      <w:r>
        <w:rPr>
          <w:i/>
          <w:iCs/>
        </w:rPr>
        <w:t>k = 1, …, N</w:t>
      </w:r>
      <w:r>
        <w:rPr/>
        <w:t>, the position RMSE is computed as</w:t>
      </w:r>
    </w:p>
    <w:p>
      <w:pPr>
        <w:pStyle w:val="equation"/>
        <w:rPr/>
      </w:pPr>
      <w:r>
        <w:rPr/>
        <w:tab/>
      </w:r>
      <w:r>
        <w:rPr>
          <w:rFonts w:cs="Cambria Math" w:ascii="Cambria Math" w:hAnsi="Cambria Math"/>
        </w:rPr>
        <w:t>RMSE(</w:t>
      </w:r>
      <w:r>
        <w:rPr>
          <w:rFonts w:cs="Cambria Math" w:ascii="Cambria Math" w:hAnsi="Cambria Math"/>
          <w:i/>
          <w:iCs/>
        </w:rPr>
        <w:t>e</w:t>
      </w:r>
      <w:r>
        <w:rPr>
          <w:rFonts w:cs="Cambria Math" w:ascii="Cambria Math" w:hAnsi="Cambria Math"/>
          <w:i/>
          <w:iCs/>
          <w:sz w:val="18"/>
          <w:szCs w:val="18"/>
          <w:vertAlign w:val="subscript"/>
        </w:rPr>
        <w:t>x</w:t>
      </w:r>
      <w:r>
        <w:rPr>
          <w:rFonts w:cs="Cambria Math" w:ascii="Cambria Math" w:hAnsi="Cambria Math"/>
        </w:rPr>
        <w:t>) = [(1/</w:t>
      </w:r>
      <w:r>
        <w:rPr>
          <w:rFonts w:cs="Cambria Math" w:ascii="Cambria Math" w:hAnsi="Cambria Math"/>
          <w:i/>
          <w:iCs/>
        </w:rPr>
        <w:t>N</w:t>
      </w:r>
      <w:r>
        <w:rPr>
          <w:rFonts w:cs="Cambria Math" w:ascii="Cambria Math" w:hAnsi="Cambria Math"/>
        </w:rPr>
        <w:t xml:space="preserve">) </w:t>
      </w:r>
      <w:r>
        <w:rPr>
          <w:rFonts w:cs="Cambria Math" w:ascii="Cambria Math" w:hAnsi="Cambria Math"/>
          <w:i/>
          <w:iCs/>
        </w:rPr>
        <w:t>Σ</w:t>
      </w:r>
      <w:r>
        <w:rPr>
          <w:rFonts w:cs="Cambria Math" w:ascii="Cambria Math" w:hAnsi="Cambria Math"/>
          <w:i/>
          <w:iCs/>
          <w:sz w:val="18"/>
          <w:szCs w:val="18"/>
          <w:vertAlign w:val="subscript"/>
        </w:rPr>
        <w:t>k</w:t>
      </w:r>
      <w:r>
        <w:rPr>
          <w:rFonts w:cs="Cambria Math" w:ascii="Cambria Math" w:hAnsi="Cambria Math"/>
        </w:rPr>
        <w:t xml:space="preserve"> </w:t>
      </w:r>
      <w:r>
        <w:rPr>
          <w:rFonts w:cs="Cambria Math" w:ascii="Cambria Math" w:hAnsi="Cambria Math"/>
          <w:i/>
          <w:iCs/>
        </w:rPr>
        <w:t>e</w:t>
      </w:r>
      <w:r>
        <w:rPr>
          <w:rFonts w:cs="Cambria Math" w:ascii="Cambria Math" w:hAnsi="Cambria Math"/>
          <w:i/>
          <w:iCs/>
          <w:sz w:val="18"/>
          <w:szCs w:val="18"/>
          <w:vertAlign w:val="subscript"/>
        </w:rPr>
        <w:t>x</w:t>
      </w:r>
      <w:r>
        <w:rPr>
          <w:rFonts w:cs="Cambria Math" w:ascii="Cambria Math" w:hAnsi="Cambria Math"/>
        </w:rPr>
        <w:t>(</w:t>
      </w:r>
      <w:r>
        <w:rPr>
          <w:rFonts w:cs="Cambria Math" w:ascii="Cambria Math" w:hAnsi="Cambria Math"/>
          <w:i/>
          <w:iCs/>
        </w:rPr>
        <w:t>k</w:t>
      </w:r>
      <w:r>
        <w:rPr>
          <w:rFonts w:cs="Cambria Math" w:ascii="Cambria Math" w:hAnsi="Cambria Math"/>
        </w:rPr>
        <w:t>)</w:t>
      </w:r>
      <w:r>
        <w:rPr>
          <w:rFonts w:cs="Cambria Math" w:ascii="Cambria Math" w:hAnsi="Cambria Math"/>
          <w:sz w:val="18"/>
          <w:szCs w:val="18"/>
          <w:vertAlign w:val="superscript"/>
        </w:rPr>
        <w:t>2</w:t>
      </w:r>
      <w:r>
        <w:rPr>
          <w:rFonts w:cs="Cambria Math" w:ascii="Cambria Math" w:hAnsi="Cambria Math"/>
        </w:rPr>
        <w:t>]</w:t>
      </w:r>
      <w:r>
        <w:rPr>
          <w:rFonts w:cs="Cambria Math" w:ascii="Cambria Math" w:hAnsi="Cambria Math"/>
          <w:sz w:val="18"/>
          <w:szCs w:val="18"/>
          <w:vertAlign w:val="superscript"/>
        </w:rPr>
        <w:t>1/2</w:t>
      </w:r>
      <w:r>
        <w:rPr/>
        <w:tab/>
      </w:r>
      <w:r>
        <w:rPr>
          <w:rFonts w:cs="Cambria Math" w:ascii="Cambria Math" w:hAnsi="Cambria Math"/>
        </w:rPr>
        <w:t>(13)</w:t>
      </w:r>
    </w:p>
    <w:p>
      <w:pPr>
        <w:pStyle w:val="BodyText"/>
        <w:rPr/>
      </w:pPr>
      <w:r>
        <w:rPr/>
        <w:t xml:space="preserve">with </w:t>
      </w:r>
      <w:r>
        <w:rPr>
          <w:i/>
          <w:iCs/>
        </w:rPr>
        <w:t>RMSE(e_y)</w:t>
      </w:r>
      <w:r>
        <w:rPr/>
        <w:t xml:space="preserve"> and </w:t>
      </w:r>
      <w:r>
        <w:rPr>
          <w:i/>
          <w:iCs/>
        </w:rPr>
        <w:t>RMSE(e_θ)</w:t>
      </w:r>
      <w:r>
        <w:rPr/>
        <w:t xml:space="preserve"> defined analogously.</w:t>
      </w:r>
    </w:p>
    <w:p>
      <w:pPr>
        <w:pStyle w:val="BodyText"/>
        <w:rPr/>
      </w:pPr>
      <w:r>
        <w:rPr/>
        <w:t>To set a realistic convergence-time acceptance criterion, we first analyzed the worst-case initial condition used in the test protocol — the robot starting at the center of the circular reference, i.e., with an initial lateral offset of approximately 0.5 m from the path. Given the actuator bandwidth and the gain set of Table I, a 2 s convergence target is not physically achievable from this initial condition; approximately 3.5–4.5 s is a more realistic analytically motivated lower bound, and is used below to define a sensible pass/fail threshold for the convergence-time metric rather than as a final reported result.</w:t>
      </w:r>
    </w:p>
    <w:p>
      <w:pPr>
        <w:pStyle w:val="BodyText"/>
        <w:rPr/>
      </w:pPr>
      <w:r>
        <w:rPr/>
        <w:t xml:space="preserve">The structured test protocol consists of three stages: (i) repeated trials at increasing reference speed </w:t>
      </w:r>
      <w:r>
        <w:rPr>
          <w:i/>
          <w:iCs/>
        </w:rPr>
        <w:t>v_d</w:t>
      </w:r>
      <w:r>
        <w:rPr/>
        <w:t xml:space="preserve"> to identify the maximum achievable speed at which tracking remains within the bounded error; (ii) repeated convergence trials from the worst-case initial offset above to measure convergence time; and (iii) an extended-duration run under nominal conditions to measure steady-state RMSE.</w:t>
      </w:r>
    </w:p>
    <w:p>
      <w:pPr>
        <w:pStyle w:val="Heading1"/>
        <w:ind w:hanging="0"/>
        <w:rPr/>
      </w:pPr>
      <w:r>
        <w:rPr/>
        <w:t>Results and Discussion</w:t>
      </w:r>
    </w:p>
    <w:p>
      <w:pPr>
        <w:pStyle w:val="Heading2"/>
        <w:rPr/>
      </w:pPr>
      <w:r>
        <w:rPr/>
        <w:t>Simulation Results</w:t>
      </w:r>
    </w:p>
    <w:p>
      <w:pPr>
        <w:pStyle w:val="Normal"/>
        <w:pBdr>
          <w:top w:val="single" w:sz="4" w:space="4" w:color="999999"/>
          <w:bottom w:val="single" w:sz="4" w:space="4" w:color="999999"/>
        </w:pBdr>
        <w:spacing w:before="120" w:after="40"/>
        <w:jc w:val="center"/>
        <w:rPr/>
      </w:pPr>
      <w:r>
        <w:rPr>
          <w:i/>
          <w:iCs/>
          <w:sz w:val="16"/>
          <w:szCs w:val="16"/>
        </w:rPr>
        <w:t>[FIGURE PLACEHOLDER — insert image here]</w:t>
      </w:r>
    </w:p>
    <w:p>
      <w:pPr>
        <w:pStyle w:val="figurecaption"/>
        <w:numPr>
          <w:ilvl w:val="0"/>
          <w:numId w:val="3"/>
        </w:numPr>
        <w:ind w:hanging="0" w:left="0"/>
        <w:rPr/>
      </w:pPr>
      <w:r>
        <w:rPr/>
        <w:t>Simulated tracking trajectory and error signals under the parameter set of Table I.</w:t>
      </w:r>
    </w:p>
    <w:p>
      <w:pPr>
        <w:pStyle w:val="tablehead"/>
        <w:numPr>
          <w:ilvl w:val="0"/>
          <w:numId w:val="6"/>
        </w:numPr>
        <w:rPr/>
      </w:pPr>
      <w:r>
        <w:rPr/>
        <w:t>Simulation Tracking Performance Metrics</w:t>
      </w:r>
    </w:p>
    <w:tbl>
      <w:tblPr>
        <w:tblW w:w="4680" w:type="dxa"/>
        <w:jc w:val="center"/>
        <w:tblInd w:w="0" w:type="dxa"/>
        <w:tblLayout w:type="fixed"/>
        <w:tblCellMar>
          <w:top w:w="0" w:type="dxa"/>
          <w:left w:w="40" w:type="dxa"/>
          <w:bottom w:w="0" w:type="dxa"/>
          <w:right w:w="40" w:type="dxa"/>
        </w:tblCellMar>
      </w:tblPr>
      <w:tblGrid>
        <w:gridCol w:w="2999"/>
        <w:gridCol w:w="1680"/>
      </w:tblGrid>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lhead"/>
              <w:rPr/>
            </w:pPr>
            <w:r>
              <w:rPr/>
              <w:t>Metric</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lhead"/>
              <w:rPr/>
            </w:pPr>
            <w:r>
              <w:rPr/>
              <w:t>Value</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Position RMSE, e_x [m]</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Position RMSE, e_y [m]</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Heading RMSE, e_θ [rad]</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Maximum tracking error [m]</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Convergence time [s]</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Steady-state error bound [m]</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bl>
    <w:p>
      <w:pPr>
        <w:pStyle w:val="BodyText"/>
        <w:rPr/>
      </w:pPr>
      <w:r>
        <w:rPr/>
        <w:t>[Discuss the simulation results here: report the obtained RMSE and convergence time from Table III, and compare the convergence time against the 3.5–4.5 s analytical lower bound of Section V-C.]</w:t>
      </w:r>
    </w:p>
    <w:p>
      <w:pPr>
        <w:pStyle w:val="Heading2"/>
        <w:rPr/>
      </w:pPr>
      <w:r>
        <w:rPr/>
        <w:t>Hardware Experimental Results</w:t>
      </w:r>
    </w:p>
    <w:p>
      <w:pPr>
        <w:pStyle w:val="Normal"/>
        <w:pBdr>
          <w:top w:val="single" w:sz="4" w:space="4" w:color="999999"/>
          <w:bottom w:val="single" w:sz="4" w:space="4" w:color="999999"/>
        </w:pBdr>
        <w:spacing w:before="120" w:after="40"/>
        <w:jc w:val="center"/>
        <w:rPr/>
      </w:pPr>
      <w:r>
        <w:rPr>
          <w:i/>
          <w:iCs/>
          <w:sz w:val="16"/>
          <w:szCs w:val="16"/>
        </w:rPr>
        <w:t>[FIGURE PLACEHOLDER — insert image here]</w:t>
      </w:r>
    </w:p>
    <w:p>
      <w:pPr>
        <w:pStyle w:val="figurecaption"/>
        <w:numPr>
          <w:ilvl w:val="0"/>
          <w:numId w:val="3"/>
        </w:numPr>
        <w:ind w:hanging="0" w:left="0"/>
        <w:rPr/>
      </w:pPr>
      <w:r>
        <w:rPr/>
        <w:t>Measured hardware tracking trajectory over the ESP-NOW wireless link.</w:t>
      </w:r>
    </w:p>
    <w:p>
      <w:pPr>
        <w:pStyle w:val="tablehead"/>
        <w:numPr>
          <w:ilvl w:val="0"/>
          <w:numId w:val="6"/>
        </w:numPr>
        <w:rPr/>
      </w:pPr>
      <w:r>
        <w:rPr/>
        <w:t>Hardware Experimental Performance Metrics</w:t>
      </w:r>
    </w:p>
    <w:tbl>
      <w:tblPr>
        <w:tblW w:w="4680" w:type="dxa"/>
        <w:jc w:val="center"/>
        <w:tblInd w:w="0" w:type="dxa"/>
        <w:tblLayout w:type="fixed"/>
        <w:tblCellMar>
          <w:top w:w="0" w:type="dxa"/>
          <w:left w:w="40" w:type="dxa"/>
          <w:bottom w:w="0" w:type="dxa"/>
          <w:right w:w="40" w:type="dxa"/>
        </w:tblCellMar>
      </w:tblPr>
      <w:tblGrid>
        <w:gridCol w:w="2999"/>
        <w:gridCol w:w="1680"/>
      </w:tblGrid>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lhead"/>
              <w:rPr/>
            </w:pPr>
            <w:r>
              <w:rPr/>
              <w:t>Metric</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lhead"/>
              <w:rPr/>
            </w:pPr>
            <w:r>
              <w:rPr/>
              <w:t>Value</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Position RMSE, e_x [m]</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Position RMSE, e_y [m]</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Average ESP-NOW round-trip latency [ms]</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Packet loss rate [%]</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Maximum achievable linear speed [m/s]</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r>
        <w:trPr/>
        <w:tc>
          <w:tcPr>
            <w:tcW w:w="2999"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Convergence time [s]</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tablecopy"/>
              <w:rPr/>
            </w:pPr>
            <w:r>
              <w:rPr/>
              <w:t>[TBD]</w:t>
            </w:r>
          </w:p>
        </w:tc>
      </w:tr>
    </w:tbl>
    <w:p>
      <w:pPr>
        <w:pStyle w:val="BodyText"/>
        <w:rPr/>
      </w:pPr>
      <w:r>
        <w:rPr/>
        <w:t>[Discuss the hardware results here, including any sim-to-real gap and its likely sources, e.g., unmodeled friction, wireless latency/jitter, or sensor noise beyond the Gaussian model used in simulation.]</w:t>
      </w:r>
    </w:p>
    <w:p>
      <w:pPr>
        <w:pStyle w:val="Heading2"/>
        <w:rPr/>
      </w:pPr>
      <w:r>
        <w:rPr/>
        <w:t>Discussion</w:t>
      </w:r>
    </w:p>
    <w:p>
      <w:pPr>
        <w:pStyle w:val="BodyText"/>
        <w:rPr/>
      </w:pPr>
      <w:r>
        <w:rPr/>
        <w:t xml:space="preserve">[Compare the simulation and hardware results and discuss limitations.] Because the circular reference used in this study has constant </w:t>
      </w:r>
      <w:r>
        <w:rPr>
          <w:i/>
          <w:iCs/>
        </w:rPr>
        <w:t>v_d</w:t>
      </w:r>
      <w:r>
        <w:rPr/>
        <w:t xml:space="preserve">, the </w:t>
      </w:r>
      <w:r>
        <w:rPr>
          <w:i/>
          <w:iCs/>
        </w:rPr>
        <w:t>VD</w:t>
      </w:r>
      <w:r>
        <w:rPr/>
        <w:t xml:space="preserve"> vs. </w:t>
      </w:r>
      <w:r>
        <w:rPr>
          <w:i/>
          <w:iCs/>
        </w:rPr>
        <w:t>v_d(t)</w:t>
      </w:r>
      <w:r>
        <w:rPr/>
        <w:t xml:space="preserve"> mismatch discussed in the Remark of Section III-C does not affect the present results; the correction remains necessary for the time-varying-trajectory extension outlined in Section VII.</w:t>
      </w:r>
    </w:p>
    <w:p>
      <w:pPr>
        <w:pStyle w:val="BodyText"/>
        <w:rPr/>
      </w:pPr>
      <w:r>
        <w:rPr/>
        <w:t>It is also worth situating the proposed architecture relative to its low-cost goal. A single STM32 microcontroller and an ESP32 module together cost a small fraction of a typical industrial fieldbus motor-control card, while still providing millisecond-level wireless command latency through ESP-NOW and a deterministic local motor-control loop. The results above should be read together with [the measured component cost of the platform, to be added] to assess whether the achieved tracking accuracy and speed are an acceptable trade-off for the cost reduction relative to a commercial AGV controller.</w:t>
      </w:r>
    </w:p>
    <w:p>
      <w:pPr>
        <w:pStyle w:val="Heading1"/>
        <w:ind w:hanging="0"/>
        <w:rPr/>
      </w:pPr>
      <w:r>
        <w:rPr/>
        <w:t>Conclusion and Future Work</w:t>
      </w:r>
    </w:p>
    <w:p>
      <w:pPr>
        <w:pStyle w:val="BodyText"/>
        <w:rPr/>
      </w:pPr>
      <w:r>
        <w:rPr/>
        <w:t>This paper presented a low-cost trajectory tracking control system for a differential-drive mobile robot, combining a Backstepping Sliding Mode Control law — built on the classical Kanayama kinematic tracking law and robustified with two coupled sliding surfaces and a continuous chattering-mitigation function — with a low-cost STM32 + ESP32/ESP-NOW + ROS2 + EKF embedded and wireless architecture. We additionally identified a formula-to-implementation consistency issue concerning the desired-velocity profile used in the angular-velocity control law and discussed its implications for the underlying Lyapunov stability guarantee. [Summarize the headline simulation and hardware findings here once Section VI is complete.]</w:t>
      </w:r>
    </w:p>
    <w:p>
      <w:pPr>
        <w:pStyle w:val="BodyText"/>
        <w:rPr/>
      </w:pPr>
      <w:r>
        <w:rPr/>
        <w:t xml:space="preserve">Future work will extend the controller to general, time-varying reference trajectories, for which the </w:t>
      </w:r>
      <w:r>
        <w:rPr>
          <w:i/>
          <w:iCs/>
        </w:rPr>
        <w:t>v_d(t)</w:t>
      </w:r>
      <w:r>
        <w:rPr/>
        <w:t xml:space="preserve"> consistency correction of Section III-C becomes essential rather than incidental, and will extend the present single-robot architecture toward a leader-follower multi-AGV formation control scheme based on a nonlinear-disturbance-observer adaptive super-twisting sliding mode controller, informed by related backstepping sliding-mode formation-control approaches such as the radial-basis-function-network-based method recently proposed for UAV formations in [9]. A further direction is a distributed AGV formation scheme combining radial-basis-function sliding mode control with a global vision system for relative localization.</w:t>
      </w:r>
    </w:p>
    <w:p>
      <w:pPr>
        <w:pStyle w:val="Heading5"/>
        <w:rPr/>
      </w:pPr>
      <w:r>
        <w:rPr/>
        <w:t>Acknowledgment</w:t>
      </w:r>
    </w:p>
    <w:p>
      <w:pPr>
        <w:pStyle w:val="BodyText"/>
        <w:rPr/>
      </w:pPr>
      <w:r>
        <w:rPr/>
        <w:t>The authors would like to thank [Advisor Name] for guidance and supervision throughout this project, and [Institution / Funding Source, if applicable] for supporting this work.</w:t>
      </w:r>
    </w:p>
    <w:p>
      <w:pPr>
        <w:pStyle w:val="Heading5"/>
        <w:rPr/>
      </w:pPr>
      <w:r>
        <w:rPr/>
        <w:t>References</w:t>
      </w:r>
    </w:p>
    <w:p>
      <w:pPr>
        <w:pStyle w:val="references"/>
        <w:numPr>
          <w:ilvl w:val="0"/>
          <w:numId w:val="5"/>
        </w:numPr>
        <w:rPr/>
      </w:pPr>
      <w:r>
        <w:rPr/>
        <w:t xml:space="preserve">Y. Kanayama, Y. Kimura, F. Miyazaki, and T. Noguchi, “A stable tracking control method for an autonomous mobile robot,” in </w:t>
      </w:r>
      <w:r>
        <w:rPr>
          <w:i/>
          <w:iCs/>
        </w:rPr>
        <w:t>Proc. IEEE Int. Conf. Robotics and Automation (ICRA)</w:t>
      </w:r>
      <w:r>
        <w:rPr/>
        <w:t>, Cincinnati, OH, USA, 1990, pp. 384–389.</w:t>
      </w:r>
    </w:p>
    <w:p>
      <w:pPr>
        <w:pStyle w:val="references"/>
        <w:numPr>
          <w:ilvl w:val="0"/>
          <w:numId w:val="5"/>
        </w:numPr>
        <w:rPr/>
      </w:pPr>
      <w:r>
        <w:rPr/>
        <w:t xml:space="preserve">M. Krstic, I. Kanellakopoulos, and P. Kokotovic, </w:t>
      </w:r>
      <w:r>
        <w:rPr>
          <w:i/>
          <w:iCs/>
        </w:rPr>
        <w:t>Nonlinear and Adaptive Control Design</w:t>
      </w:r>
      <w:r>
        <w:rPr/>
        <w:t>. New York, NY, USA: Wiley, 1995.</w:t>
      </w:r>
    </w:p>
    <w:p>
      <w:pPr>
        <w:pStyle w:val="references"/>
        <w:numPr>
          <w:ilvl w:val="0"/>
          <w:numId w:val="5"/>
        </w:numPr>
        <w:rPr/>
      </w:pPr>
      <w:r>
        <w:rPr/>
        <w:t xml:space="preserve">J.-J. E. Slotine and W. Li, </w:t>
      </w:r>
      <w:r>
        <w:rPr>
          <w:i/>
          <w:iCs/>
        </w:rPr>
        <w:t>Applied Nonlinear Control</w:t>
      </w:r>
      <w:r>
        <w:rPr/>
        <w:t>. Englewood Cliffs, NJ, USA: Prentice Hall, 1991.</w:t>
      </w:r>
    </w:p>
    <w:p>
      <w:pPr>
        <w:pStyle w:val="references"/>
        <w:numPr>
          <w:ilvl w:val="0"/>
          <w:numId w:val="5"/>
        </w:numPr>
        <w:rPr/>
      </w:pPr>
      <w:r>
        <w:rPr/>
        <w:t xml:space="preserve">V. Utkin, </w:t>
      </w:r>
      <w:r>
        <w:rPr>
          <w:i/>
          <w:iCs/>
        </w:rPr>
        <w:t>Sliding Modes in Control and Optimization</w:t>
      </w:r>
      <w:r>
        <w:rPr/>
        <w:t>. Berlin, Germany: Springer-Verlag, 1992.</w:t>
      </w:r>
    </w:p>
    <w:p>
      <w:pPr>
        <w:pStyle w:val="references"/>
        <w:numPr>
          <w:ilvl w:val="0"/>
          <w:numId w:val="5"/>
        </w:numPr>
        <w:rPr/>
      </w:pPr>
      <w:r>
        <w:rPr/>
        <w:t xml:space="preserve">R. Fierro and F. L. Lewis, “Control of a nonholonomic mobile robot: Backstepping kinematics into dynamics,” in </w:t>
      </w:r>
      <w:r>
        <w:rPr>
          <w:i/>
          <w:iCs/>
        </w:rPr>
        <w:t>Proc. IEEE Conf. Decision and Control (CDC)</w:t>
      </w:r>
      <w:r>
        <w:rPr/>
        <w:t>, 1995, pp. 3805–3810.</w:t>
      </w:r>
    </w:p>
    <w:p>
      <w:pPr>
        <w:pStyle w:val="references"/>
        <w:numPr>
          <w:ilvl w:val="0"/>
          <w:numId w:val="5"/>
        </w:numPr>
        <w:rPr/>
      </w:pPr>
      <w:r>
        <w:rPr/>
        <w:t>Espressif Systems, “ESP-NOW Wireless Communication Protocol,” Espressif Systems, [Online]. Available: https://www.espressif.com/en/solutions/low-power-solutions/esp-now</w:t>
      </w:r>
    </w:p>
    <w:p>
      <w:pPr>
        <w:pStyle w:val="references"/>
        <w:numPr>
          <w:ilvl w:val="0"/>
          <w:numId w:val="5"/>
        </w:numPr>
        <w:rPr/>
      </w:pPr>
      <w:r>
        <w:rPr/>
        <w:t>G. Welch and G. Bishop, “An Introduction to the Kalman Filter,” Univ. North Carolina at Chapel Hill, Chapel Hill, NC, USA, Tech. Rep. TR 95-041, 1995 (rev. 2006).</w:t>
      </w:r>
    </w:p>
    <w:p>
      <w:pPr>
        <w:pStyle w:val="references"/>
        <w:numPr>
          <w:ilvl w:val="0"/>
          <w:numId w:val="5"/>
        </w:numPr>
        <w:rPr/>
      </w:pPr>
      <w:r>
        <w:rPr/>
        <w:t>[To be added: reference for the STM32 / motor-driver hardware used.]</w:t>
      </w:r>
    </w:p>
    <w:p>
      <w:pPr>
        <w:pStyle w:val="references"/>
        <w:numPr>
          <w:ilvl w:val="0"/>
          <w:numId w:val="5"/>
        </w:numPr>
        <w:spacing w:before="0" w:after="50"/>
        <w:rPr/>
      </w:pPr>
      <w:r>
        <w:rPr/>
        <w:t xml:space="preserve">D.-N. Bui and M. D. Phung, “Radial basis function neural networks for formation control of unmanned aerial vehicles,” </w:t>
      </w:r>
      <w:r>
        <w:rPr>
          <w:i/>
          <w:iCs/>
        </w:rPr>
        <w:t>arXiv preprint arXiv:2404.13583</w:t>
      </w:r>
      <w:r>
        <w:rPr/>
        <w:t>, 2024. [Online]. Available: https://arxiv.org/abs/2404.13583</w:t>
      </w:r>
    </w:p>
    <w:sectPr>
      <w:type w:val="continuous"/>
      <w:pgSz w:w="11906" w:h="16838"/>
      <w:pgMar w:left="893" w:right="893" w:gutter="0" w:header="0" w:top="540" w:footer="720" w:bottom="1440"/>
      <w:cols w:num="2" w:space="360" w:equalWidth="true" w:sep="false"/>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ymbol">
    <w:charset w:val="00"/>
    <w:family w:val="roman"/>
    <w:pitch w:val="variable"/>
  </w:font>
  <w:font w:name="Cambria Math">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Diana Romeo</cp:lastModifiedBy>
  <dcterms:modified xsi:type="dcterms:W3CDTF">2024-07-16T13:42:00Z</dcterms:modified>
  <cp:revision>2</cp:revision>
  <dc:subject/>
  <dc:title>Paper Title (use style: paper title)</dc:title>
</cp:coreProperties>
</file>