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8,2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24,6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350000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chữ: &lt;&lt;BangChu&gt;&gt;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