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Admission rates in Pediatric Intensive Care Units (PICUs) have significant implications for healthcare systems, particularly in the areas of resource allocation and capacity management. High admission rates can strain existing resources, necessitating strategic planning to ensure adequate staffing, equipment, and bed availability to meet the demands of critically ill patients. This situation can be exacerbated during health crises, such as the COVID-19 pandemic, which highlighted the challenges of maintaining balance between patient care and resource limitations in North American PICUs (Gomez &amp; Peters, 2023). Moreover, fluctuating admission rates require healthcare systems to adopt flexible capacity management strategies, ensuring that PICUs can adapt to varying levels of patient influx without compromising the quality of care. Efficient management of these factors is crucial for optimizing PICU operations, ultimately improving patient outcomes and ensuring equitable access to essential critical care services across different regions.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