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long-term buyer-supplier relationships, the dynamics between parties significantly influence contract renegotiations and amendments. The evolving nature of these relationships necessitates frequent revisions to contractual terms, which are often prompted by changes in market conditions or shifts in strategic priorities (Ref-u554637). As mutual trust and understanding develop over time, suppliers and buyers may seek to renegotiate terms to reflect enhanced cooperation and shared objectives. This ongoing negotiation process is crucial for ensuring that contracts remain relevant and effective, thus supporting the sustained value creation that both parties aim to achieve (Ref-u554637). Additionally, the flexibility to amend contracts is vital for adapting to technological advancements and other external factors that may affect the operational landscape, further highlighting the importance of dynamic relationship management in contract execution.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