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validity of the acceptance in this scenario hinges on both the communication method and the timing of the acceptance. One argument supporting the validity of the acceptance is that email is a widely recognized form of communication that can effectively convey acceptance, provided it aligns with the terms of the offer (Ref-u867513). If Daniel, acting on Samantha's behalf, sent an acceptance email within the stipulated one-week period, it could be argued that this satisfies the requirement of timely communication. Conversely, a potential argument against the validity of the acceptance could be that the email was not received or acknowledged by Bruce within the offer's timeframe, thus failing to fulfill the acceptance criteria. Additionally, if Bruce's offer specified a particular method of acceptance that was not adhered to, this could further undermine the acceptance's validity, highlighting the importance of compliance with prescribed communication methods in contract 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