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contemporary church faces a complex debate over the necessity of inerrancy. Proponents argue that inerrancy is vital for maintaining doctrinal purity and the authority of the church, as Erickson presents through historical evidence and theological rationale. However, critics suggest that a more flexible understanding of inerrancy might allow for a faith practice that is inclusive and contextually relevant. Modern church practices, which sometimes adapt scriptural interpretations to contemporary issues, illustrate this tension. For instance, churches that embrace a non-literal approach to certain biblical narratives may find themselves more adaptable to societal changes. This invites a discussion on how these perspectives align with or challenge current theological trends, urging us to reflect on the balance between tradition and adaptability in faith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