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design choices for the artifact are strategically crafted to engage extraterrestrial recipients through multiple sensory modalities, enhancing the likelihood of effective communication. The use of harmonic tones and rhythmic patterns serves to transcend linguistic limitations, offering a structured auditory experience that may be universally recognizable (Ref-f872342). By incorporating textured surfaces, the artifact invites tactile interaction, catering to potential non-visual sensory perceptions that extraterrestrial beings may possess. The dynamic visual elements, featuring geometric symbols and light patterns, are selected for their simplicity and potential universality, enabling the conveyance of complex ideas in an accessible format. Additionally, the olfactory component, with its neutral scent, is designed to subtly draw attention without overwhelming unfamiliar sensory systems, thus maintaining an inviting and non-threatening presence that encourages exploration and response from intelligent extraterrestrial life 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