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imagined experiences of architectural structures vary significantly, influencing emotional responses and perceptions. A modern glass skyscraper, with its expansive glass facades, evokes feelings of openness and transparency, inviting occupants to sense a connection with the urban environment. In contrast, a Gothic cathedral, characterized by its towering spires and intricate stained glass, elicits feelings of awe and reverence, rooted in its historical and spiritual grandeur. These differences in architectural design elements shape distinct emotional landscapes, highlighting how architecture can manipulate space to provoke diverse psychological effects (Ref-f406330). By exploring these contrasting experiences, one can appreciate the profound impact that architectural forms have on human emotions and the perception of space, further underscoring the role of design in shaping our interaction with the built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