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Bersaglieri's involvement in World War II demonstrated their continued adaptability and strategic importance within the Italian military framework. As the war progressed, the unit was integrated into various mechanized and armored divisions, allowing them to execute rapid and flexible operations across diverse terrains (Ref-s325572). This period marked a significant shift in their operational role, as they transitioned from traditional infantry tasks to more complex mechanized warfare, which demanded advanced coordination and technological proficiency. In the post-war era, the Bersaglieri continued to evolve, embracing modern military technologies and tactics to maintain their status as an elite unit within the Italian Army. Today, they uphold their legacy of agility and resilience, participating in international peacekeeping missions and contributing to NATO operations, thereby reinforcing their enduring relevance in contemporary military engagements (Ref-s325572).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