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Reflecting on the decision-making process, I recognized my personal bias towards destinations that offered cultural experiences, which stemmed from my interest in history and local traditions. This inclination subtly colored my interactions, as I often advocated for locations that others in the group might not have initially considered. My bias became apparent when discussions about potential destinations highlighted a divide between those seeking relaxation and those, like myself, who preferred exploration. According to Yang et al. (Ref-u959720), family members often voice preferences influenced by generational values, which can complicate consensus-building. In our case, my bias not only shaped the conversation but also necessitated a deeper understanding of differing perspectives, ultimately enriching the group's dialogue and fostering a more inclusive decision-making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