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application of CRISPR-Cas9 technology in treating obesity raises several ethical considerations and challenges that must be carefully evaluated. One primary concern is the potential for unintended genetic alterations, which could lead to unforeseen health consequences. The precision of CRISPR-Cas9, while advanced, is not infallible, and off-target effects may occur, necessitating rigorous safety assessments before clinical applications (Ref-f593614). Additionally, there are ethical dilemmas surrounding the accessibility and equitable distribution of such genetic interventions, as they could exacerbate health disparities if only available to certain socioeconomic groups. Furthermore, the prospect of genetic editing in humans raises philosophical debates about altering human nature and the potential long-term impacts on genetic diversity and evolution.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