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Controversial ethical issues have significantly influenced the development of our strategy, necessitating ongoing refinement to address multiple role relationships and multicultural competence. The increasing prevalence of examination malpractice, as highlighted in recent studies, underscores the need for strategies that account for ethical complexities within educational settings (Ref-s079628). Addressing these challenges involves enhancing the ethical framework to clearly define the boundaries and responsibilities inherent in multiple role relationships, ensuring that educators maintain objectivity and fairness. Furthermore, incorporating multicultural competence into the strategy is essential; this involves understanding and respecting diverse cultural backgrounds to create an inclusive educational environment that aligns with ethical standards (Ref-s079628). This approach not only adheres to existing ethical codes but also anticipates evolving trends, emphasizing the importance of continuous adaptation to new ethical challenges within the educational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