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addressing counter-arguments to the reinterpretation of controversial memorials and monuments, it is essential to consider the perspective that such actions may inadvertently sanitize history. Critics argue that altering or adding contextual elements to existing monuments could obscure the original intent and historical significance, potentially leading to a diluted understanding of past events (Ref-s529343). Additionally, opponents of reinterpretation contend that these modifications might fail to address the underlying issues of representation and historical injustice, thus falling short of achieving meaningful social change (Ref-s529343). Furthermore, the fear of erasing historical narratives by changing monuments could provoke resistance from groups who view these structures as integral to their cultural heritage (Ref-s529343). By engaging with these arguments, it becomes clear that any approach to controversial monuments must carefully balance the need for historical integrity with the imperative for social 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