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Demographic data for Westmoreland reveals a diverse population that intricately weaves into the broader socioeconomic fabric of Toledo. The neighborhood's demographic composition includes a significant representation of professional and academic individuals, largely influenced by its proximity to the University of Toledo, which attracts a range of educational and occupational backgrounds (Nguyen 59–60). This diversity is paralleled by a blend of cultural and ethnic groups, contributing to the rich community tapestry and fostering an inclusive environment. Economic conditions in Westmoreland are characterized by a stable employment rate and substantial median income levels, reflecting the neighborhood's appeal to both established professionals and young families. The area's educational attainment is notably high, with many residents holding advanced degrees, which not only enriches the intellectual landscape but also enhances the local economic stability and growth potential (Nguyen 59–60).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